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C530C5" w14:textId="77777777" w:rsidR="00FC5B6A" w:rsidRDefault="00000000">
      <w:pPr>
        <w:jc w:val="center"/>
        <w:rPr>
          <w:rFonts w:hint="eastAsia"/>
        </w:rPr>
      </w:pPr>
      <w:r>
        <w:rPr>
          <w:rFonts w:ascii="Aptos Display" w:hAnsi="Aptos Display"/>
          <w:b/>
          <w:color w:val="17365D"/>
          <w:sz w:val="54"/>
        </w:rPr>
        <w:t>STATE OF DIGITAL SKILLS TRAINING</w:t>
      </w:r>
      <w:r>
        <w:rPr>
          <w:rFonts w:ascii="Aptos Display" w:hAnsi="Aptos Display"/>
          <w:b/>
          <w:color w:val="17365D"/>
          <w:sz w:val="54"/>
        </w:rPr>
        <w:br/>
        <w:t>IN WEST AFRICAN HIGHER EDUCATION</w:t>
      </w:r>
    </w:p>
    <w:p w14:paraId="41ECDC5E" w14:textId="77777777" w:rsidR="00FC5B6A" w:rsidRDefault="00000000">
      <w:pPr>
        <w:pStyle w:val="ReportSubtitle"/>
        <w:jc w:val="center"/>
        <w:rPr>
          <w:rFonts w:hint="eastAsia"/>
        </w:rPr>
      </w:pPr>
      <w:r>
        <w:t>Readiness, Gaps and Pathways for a Digitally Competitive Graduate Workforce</w:t>
      </w:r>
    </w:p>
    <w:p w14:paraId="36CEE415" w14:textId="77777777" w:rsidR="00FC5B6A" w:rsidRDefault="00000000">
      <w:pPr>
        <w:jc w:val="center"/>
        <w:rPr>
          <w:rFonts w:hint="eastAsia"/>
        </w:rPr>
      </w:pPr>
      <w:r>
        <w:rPr>
          <w:b/>
          <w:color w:val="2F5597"/>
          <w:sz w:val="24"/>
        </w:rPr>
        <w:t>Regional Report | 2026</w:t>
      </w:r>
    </w:p>
    <w:p w14:paraId="2F20BBB6" w14:textId="22871AF9" w:rsidR="00FC5B6A" w:rsidRDefault="00000000" w:rsidP="000B2568">
      <w:pPr>
        <w:rPr>
          <w:rFonts w:hint="eastAsia"/>
        </w:rPr>
      </w:pPr>
      <w:r>
        <w:br/>
      </w:r>
    </w:p>
    <w:p w14:paraId="15CE0571" w14:textId="77777777" w:rsidR="00FC5B6A" w:rsidRDefault="00000000">
      <w:pPr>
        <w:rPr>
          <w:rFonts w:hint="eastAsia"/>
        </w:rPr>
      </w:pPr>
      <w:r>
        <w:br w:type="page"/>
      </w:r>
    </w:p>
    <w:p w14:paraId="1BB38F1A" w14:textId="77777777" w:rsidR="00FC5B6A" w:rsidRDefault="00000000">
      <w:pPr>
        <w:pStyle w:val="Heading1"/>
      </w:pPr>
      <w:r>
        <w:lastRenderedPageBreak/>
        <w:t>Executive Summary</w:t>
      </w:r>
    </w:p>
    <w:p w14:paraId="5285A41F" w14:textId="77777777" w:rsidR="00FC5B6A" w:rsidRDefault="00000000">
      <w:pPr>
        <w:rPr>
          <w:rFonts w:hint="eastAsia"/>
        </w:rPr>
      </w:pPr>
      <w:r>
        <w:t>Digital capability has become a core condition for graduate employability, institutional competitiveness and economic transformation. Across West Africa, higher-education institutions are expanding the use of learning-management systems, virtual delivery, computing programmes, innovation hubs, short courses and industry-linked certification. Yet the regional picture remains uneven. Progress in digital access has not automatically translated into broad, demonstrable competence in data, software, cybersecurity, artificial intelligence (AI), cloud technologies or digitally enabled problem-solving.</w:t>
      </w:r>
    </w:p>
    <w:p w14:paraId="6BF624A2" w14:textId="77777777" w:rsidR="00FC5B6A" w:rsidRDefault="00000000">
      <w:pPr>
        <w:rPr>
          <w:rFonts w:hint="eastAsia"/>
        </w:rPr>
      </w:pPr>
      <w:r>
        <w:t>This report reviews the state of digital-skills training in West African higher education, drawing primarily on recent evidence from UNESCO, the World Bank, the International Telecommunication Union (ITU), ECOWAS and country-level initiatives. It focuses on universities and other tertiary institutions while using selected education-system and labour-market evidence where it directly affects tertiary readiness. Because harmonised institution-level data are still scarce, the report avoids a false regional league table and instead identifies robust patterns, emerging practices and evidence gaps.</w:t>
      </w:r>
    </w:p>
    <w:p w14:paraId="5CE83FDA" w14:textId="77777777" w:rsidR="00FC5B6A" w:rsidRDefault="00000000">
      <w:pPr>
        <w:rPr>
          <w:rFonts w:hint="eastAsia"/>
        </w:rPr>
      </w:pPr>
      <w:r>
        <w:t>Connectivity remains a binding constraint. ITU estimated that 38% of Africa's population used the Internet in 2024, compared with 68% globally. Digital-skills measurement is itself incomplete: ITU noted that only 40 countries supplied comparable skill-level data under its updated framework. For West African higher education, this means that institutional claims of 'digitalisation' should not be treated as evidence of student proficiency without competency-based assessment.</w:t>
      </w:r>
    </w:p>
    <w:p w14:paraId="54E688B4" w14:textId="77777777" w:rsidR="00FC5B6A" w:rsidRDefault="00000000">
      <w:pPr>
        <w:rPr>
          <w:rFonts w:hint="eastAsia"/>
        </w:rPr>
      </w:pPr>
      <w:r>
        <w:t>The labour-market case for reform is strong. World Bank analysis of Nigerian online vacancies through June 2024 demonstrates the growing importance of skills data for understanding employer demand, while a 2025–2026 Senegal benchmarking initiative explicitly assessed the market relevance and digital maturity of higher education and brought 84 higher-education leaders together to discuss employability, digital skills and AI-supported career preparation. At the regional level, ECOWAS has also elevated AI and digital capability within its human-capital agenda.</w:t>
      </w:r>
    </w:p>
    <w:p w14:paraId="2B173A8F" w14:textId="77777777" w:rsidR="00FC5B6A" w:rsidRDefault="00000000">
      <w:pPr>
        <w:pStyle w:val="Callout"/>
        <w:rPr>
          <w:rFonts w:hint="eastAsia"/>
        </w:rPr>
      </w:pPr>
      <w:r>
        <w:t>The report reaches seven principal findings:</w:t>
      </w:r>
    </w:p>
    <w:p w14:paraId="352E3945" w14:textId="77777777" w:rsidR="00FC5B6A" w:rsidRDefault="00000000">
      <w:pPr>
        <w:pStyle w:val="ListNumber"/>
        <w:rPr>
          <w:rFonts w:hint="eastAsia"/>
        </w:rPr>
      </w:pPr>
      <w:r>
        <w:t>Digital-skills provision is expanding, but it is fragmented across degree programmes, general ICT courses, boot camps, innovation hubs, externally funded projects and private certification.</w:t>
      </w:r>
    </w:p>
    <w:p w14:paraId="4957E42F" w14:textId="77777777" w:rsidR="00FC5B6A" w:rsidRDefault="00000000">
      <w:pPr>
        <w:pStyle w:val="ListNumber"/>
        <w:rPr>
          <w:rFonts w:hint="eastAsia"/>
        </w:rPr>
      </w:pPr>
      <w:r>
        <w:t>Foundational digital literacy remains necessary but is no longer sufficient; employability increasingly requires intermediate and advanced capabilities, including data analysis, programming, cybersecurity, cloud services and responsible AI use.</w:t>
      </w:r>
    </w:p>
    <w:p w14:paraId="4BD9A9ED" w14:textId="77777777" w:rsidR="00FC5B6A" w:rsidRDefault="00000000">
      <w:pPr>
        <w:pStyle w:val="ListNumber"/>
        <w:rPr>
          <w:rFonts w:hint="eastAsia"/>
        </w:rPr>
      </w:pPr>
      <w:r>
        <w:t>Infrastructure, affordability and device access continue to shape who can participate fully, making digital-skills policy inseparable from inclusion policy.</w:t>
      </w:r>
    </w:p>
    <w:p w14:paraId="7858D48B" w14:textId="77777777" w:rsidR="00FC5B6A" w:rsidRDefault="00000000">
      <w:pPr>
        <w:pStyle w:val="ListNumber"/>
        <w:rPr>
          <w:rFonts w:hint="eastAsia"/>
        </w:rPr>
      </w:pPr>
      <w:r>
        <w:t>Faculty readiness is a major bottleneck. Institutions cannot sustainably modernise curricula if lecturers lack continuous exposure to current tools, pedagogy and industry practice.</w:t>
      </w:r>
    </w:p>
    <w:p w14:paraId="02DEC479" w14:textId="77777777" w:rsidR="00FC5B6A" w:rsidRDefault="00000000">
      <w:pPr>
        <w:pStyle w:val="ListNumber"/>
        <w:rPr>
          <w:rFonts w:hint="eastAsia"/>
        </w:rPr>
      </w:pPr>
      <w:r>
        <w:t>Curriculum renewal is often slower than technological change. Modular, stackable and industry-informed learning is therefore becoming as important as conventional programme revision.</w:t>
      </w:r>
    </w:p>
    <w:p w14:paraId="3723FFB1" w14:textId="77777777" w:rsidR="00FC5B6A" w:rsidRDefault="00000000">
      <w:pPr>
        <w:pStyle w:val="ListNumber"/>
        <w:rPr>
          <w:rFonts w:hint="eastAsia"/>
        </w:rPr>
      </w:pPr>
      <w:r>
        <w:t>Labour-market alignment is improving in selected initiatives, but systematic employer advisory structures, tracer studies, practical portfolios and work-integrated learning remain uneven.</w:t>
      </w:r>
    </w:p>
    <w:p w14:paraId="7B1509CF" w14:textId="77777777" w:rsidR="00FC5B6A" w:rsidRDefault="00000000">
      <w:pPr>
        <w:pStyle w:val="ListNumber"/>
        <w:rPr>
          <w:rFonts w:hint="eastAsia"/>
        </w:rPr>
      </w:pPr>
      <w:r>
        <w:t>West Africa lacks sufficiently comparable, public, institution-level data on digital competencies. Better measurement is essential for policy, funding and accountability.</w:t>
      </w:r>
    </w:p>
    <w:p w14:paraId="7126393E" w14:textId="77777777" w:rsidR="00FC5B6A" w:rsidRDefault="00000000">
      <w:pPr>
        <w:rPr>
          <w:rFonts w:hint="eastAsia"/>
        </w:rPr>
      </w:pPr>
      <w:r>
        <w:t>The report proposes a shift from 'digital exposure' to 'verified digital capability'. Every graduate should leave higher education with a baseline digital competence, while discipline-specific pathways should build intermediate and advanced skills. Institutions should combine curriculum reform with faculty development, reliable infrastructure, competency assessment, industry partnerships, inclusion safeguards and responsible-AI governance.</w:t>
      </w:r>
    </w:p>
    <w:p w14:paraId="626EE0DB" w14:textId="77777777" w:rsidR="00FC5B6A" w:rsidRDefault="00000000">
      <w:pPr>
        <w:pStyle w:val="Heading2"/>
      </w:pPr>
      <w:r>
        <w:t>Headline Indicators</w:t>
      </w:r>
    </w:p>
    <w:tbl>
      <w:tblPr>
        <w:tblStyle w:val="TableGrid"/>
        <w:tblW w:w="0" w:type="auto"/>
        <w:jc w:val="center"/>
        <w:tblLook w:val="04A0" w:firstRow="1" w:lastRow="0" w:firstColumn="1" w:lastColumn="0" w:noHBand="0" w:noVBand="1"/>
      </w:tblPr>
      <w:tblGrid>
        <w:gridCol w:w="2304"/>
        <w:gridCol w:w="3600"/>
        <w:gridCol w:w="3456"/>
      </w:tblGrid>
      <w:tr w:rsidR="00FC5B6A" w14:paraId="42889FBA" w14:textId="77777777">
        <w:trPr>
          <w:jc w:val="center"/>
        </w:trPr>
        <w:tc>
          <w:tcPr>
            <w:tcW w:w="2304" w:type="dxa"/>
            <w:shd w:val="clear" w:color="auto" w:fill="17365D"/>
            <w:vAlign w:val="center"/>
          </w:tcPr>
          <w:p w14:paraId="52B50999" w14:textId="77777777" w:rsidR="00FC5B6A" w:rsidRDefault="00000000">
            <w:pPr>
              <w:rPr>
                <w:rFonts w:hint="eastAsia"/>
              </w:rPr>
            </w:pPr>
            <w:r>
              <w:rPr>
                <w:b/>
                <w:color w:val="FFFFFF"/>
                <w:sz w:val="18"/>
              </w:rPr>
              <w:t>Indicator / signal</w:t>
            </w:r>
          </w:p>
        </w:tc>
        <w:tc>
          <w:tcPr>
            <w:tcW w:w="3600" w:type="dxa"/>
            <w:shd w:val="clear" w:color="auto" w:fill="17365D"/>
            <w:vAlign w:val="center"/>
          </w:tcPr>
          <w:p w14:paraId="063E1CD6" w14:textId="77777777" w:rsidR="00FC5B6A" w:rsidRDefault="00000000">
            <w:pPr>
              <w:rPr>
                <w:rFonts w:hint="eastAsia"/>
              </w:rPr>
            </w:pPr>
            <w:r>
              <w:rPr>
                <w:b/>
                <w:color w:val="FFFFFF"/>
                <w:sz w:val="18"/>
              </w:rPr>
              <w:t>What the evidence shows</w:t>
            </w:r>
          </w:p>
        </w:tc>
        <w:tc>
          <w:tcPr>
            <w:tcW w:w="3456" w:type="dxa"/>
            <w:shd w:val="clear" w:color="auto" w:fill="17365D"/>
            <w:vAlign w:val="center"/>
          </w:tcPr>
          <w:p w14:paraId="17E4E096" w14:textId="77777777" w:rsidR="00FC5B6A" w:rsidRDefault="00000000">
            <w:pPr>
              <w:rPr>
                <w:rFonts w:hint="eastAsia"/>
              </w:rPr>
            </w:pPr>
            <w:r>
              <w:rPr>
                <w:b/>
                <w:color w:val="FFFFFF"/>
                <w:sz w:val="18"/>
              </w:rPr>
              <w:t>Implication for higher education</w:t>
            </w:r>
          </w:p>
        </w:tc>
      </w:tr>
      <w:tr w:rsidR="00FC5B6A" w14:paraId="00D6609F" w14:textId="77777777">
        <w:trPr>
          <w:jc w:val="center"/>
        </w:trPr>
        <w:tc>
          <w:tcPr>
            <w:tcW w:w="2304" w:type="dxa"/>
            <w:vAlign w:val="center"/>
          </w:tcPr>
          <w:p w14:paraId="0E64761E" w14:textId="77777777" w:rsidR="00FC5B6A" w:rsidRDefault="00000000">
            <w:pPr>
              <w:rPr>
                <w:rFonts w:hint="eastAsia"/>
              </w:rPr>
            </w:pPr>
            <w:r>
              <w:rPr>
                <w:sz w:val="17"/>
              </w:rPr>
              <w:t>Internet use in Africa, 2024</w:t>
            </w:r>
          </w:p>
        </w:tc>
        <w:tc>
          <w:tcPr>
            <w:tcW w:w="3600" w:type="dxa"/>
            <w:vAlign w:val="center"/>
          </w:tcPr>
          <w:p w14:paraId="3F1424AE" w14:textId="77777777" w:rsidR="00FC5B6A" w:rsidRDefault="00000000">
            <w:pPr>
              <w:rPr>
                <w:rFonts w:hint="eastAsia"/>
              </w:rPr>
            </w:pPr>
            <w:r>
              <w:rPr>
                <w:sz w:val="17"/>
              </w:rPr>
              <w:t>38% of the population, versus 68% globally (ITU).</w:t>
            </w:r>
          </w:p>
        </w:tc>
        <w:tc>
          <w:tcPr>
            <w:tcW w:w="3456" w:type="dxa"/>
            <w:vAlign w:val="center"/>
          </w:tcPr>
          <w:p w14:paraId="02D00181" w14:textId="77777777" w:rsidR="00FC5B6A" w:rsidRDefault="00000000">
            <w:pPr>
              <w:rPr>
                <w:rFonts w:hint="eastAsia"/>
              </w:rPr>
            </w:pPr>
            <w:r>
              <w:rPr>
                <w:sz w:val="17"/>
              </w:rPr>
              <w:t>Campus and off-campus connectivity cannot be assumed.</w:t>
            </w:r>
          </w:p>
        </w:tc>
      </w:tr>
      <w:tr w:rsidR="00FC5B6A" w14:paraId="24C24B2F" w14:textId="77777777">
        <w:trPr>
          <w:jc w:val="center"/>
        </w:trPr>
        <w:tc>
          <w:tcPr>
            <w:tcW w:w="2304" w:type="dxa"/>
            <w:shd w:val="clear" w:color="auto" w:fill="F3F6FA"/>
            <w:vAlign w:val="center"/>
          </w:tcPr>
          <w:p w14:paraId="3B45746E" w14:textId="77777777" w:rsidR="00FC5B6A" w:rsidRDefault="00000000">
            <w:pPr>
              <w:rPr>
                <w:rFonts w:hint="eastAsia"/>
              </w:rPr>
            </w:pPr>
            <w:r>
              <w:rPr>
                <w:sz w:val="17"/>
              </w:rPr>
              <w:t>Comparable ICT-skill measurement</w:t>
            </w:r>
          </w:p>
        </w:tc>
        <w:tc>
          <w:tcPr>
            <w:tcW w:w="3600" w:type="dxa"/>
            <w:shd w:val="clear" w:color="auto" w:fill="F3F6FA"/>
            <w:vAlign w:val="center"/>
          </w:tcPr>
          <w:p w14:paraId="72906111" w14:textId="77777777" w:rsidR="00FC5B6A" w:rsidRDefault="00000000">
            <w:pPr>
              <w:rPr>
                <w:rFonts w:hint="eastAsia"/>
              </w:rPr>
            </w:pPr>
            <w:r>
              <w:rPr>
                <w:sz w:val="17"/>
              </w:rPr>
              <w:t>Only 40 countries supplied comparable skill-level data to ITU under the updated framework.</w:t>
            </w:r>
          </w:p>
        </w:tc>
        <w:tc>
          <w:tcPr>
            <w:tcW w:w="3456" w:type="dxa"/>
            <w:shd w:val="clear" w:color="auto" w:fill="F3F6FA"/>
            <w:vAlign w:val="center"/>
          </w:tcPr>
          <w:p w14:paraId="27E8B05B" w14:textId="77777777" w:rsidR="00FC5B6A" w:rsidRDefault="00000000">
            <w:pPr>
              <w:rPr>
                <w:rFonts w:hint="eastAsia"/>
              </w:rPr>
            </w:pPr>
            <w:r>
              <w:rPr>
                <w:sz w:val="17"/>
              </w:rPr>
              <w:t>Regional benchmarking needs stronger data systems.</w:t>
            </w:r>
          </w:p>
        </w:tc>
      </w:tr>
      <w:tr w:rsidR="00FC5B6A" w14:paraId="55E52C6C" w14:textId="77777777">
        <w:trPr>
          <w:jc w:val="center"/>
        </w:trPr>
        <w:tc>
          <w:tcPr>
            <w:tcW w:w="2304" w:type="dxa"/>
            <w:vAlign w:val="center"/>
          </w:tcPr>
          <w:p w14:paraId="4CCAFF6C" w14:textId="77777777" w:rsidR="00FC5B6A" w:rsidRDefault="00000000">
            <w:pPr>
              <w:rPr>
                <w:rFonts w:hint="eastAsia"/>
              </w:rPr>
            </w:pPr>
            <w:r>
              <w:rPr>
                <w:sz w:val="17"/>
              </w:rPr>
              <w:t>Nigeria digital-skills readiness</w:t>
            </w:r>
          </w:p>
        </w:tc>
        <w:tc>
          <w:tcPr>
            <w:tcW w:w="3600" w:type="dxa"/>
            <w:vAlign w:val="center"/>
          </w:tcPr>
          <w:p w14:paraId="22B5B8AA" w14:textId="77777777" w:rsidR="00FC5B6A" w:rsidRDefault="00000000">
            <w:pPr>
              <w:rPr>
                <w:rFonts w:hint="eastAsia"/>
              </w:rPr>
            </w:pPr>
            <w:r>
              <w:rPr>
                <w:sz w:val="17"/>
              </w:rPr>
              <w:t>World Bank 2024 policy note examines population skills and digital infrastructure in schools.</w:t>
            </w:r>
          </w:p>
        </w:tc>
        <w:tc>
          <w:tcPr>
            <w:tcW w:w="3456" w:type="dxa"/>
            <w:vAlign w:val="center"/>
          </w:tcPr>
          <w:p w14:paraId="307A10D9" w14:textId="77777777" w:rsidR="00FC5B6A" w:rsidRDefault="00000000">
            <w:pPr>
              <w:rPr>
                <w:rFonts w:hint="eastAsia"/>
              </w:rPr>
            </w:pPr>
            <w:r>
              <w:rPr>
                <w:sz w:val="17"/>
              </w:rPr>
              <w:t>Skills policy must connect infrastructure, teaching capacity and measurable competence.</w:t>
            </w:r>
          </w:p>
        </w:tc>
      </w:tr>
      <w:tr w:rsidR="00FC5B6A" w14:paraId="7ADD600C" w14:textId="77777777">
        <w:trPr>
          <w:jc w:val="center"/>
        </w:trPr>
        <w:tc>
          <w:tcPr>
            <w:tcW w:w="2304" w:type="dxa"/>
            <w:shd w:val="clear" w:color="auto" w:fill="F3F6FA"/>
            <w:vAlign w:val="center"/>
          </w:tcPr>
          <w:p w14:paraId="53E61209" w14:textId="77777777" w:rsidR="00FC5B6A" w:rsidRDefault="00000000">
            <w:pPr>
              <w:rPr>
                <w:rFonts w:hint="eastAsia"/>
              </w:rPr>
            </w:pPr>
            <w:r>
              <w:rPr>
                <w:sz w:val="17"/>
              </w:rPr>
              <w:t>Senegal higher-education benchmarking</w:t>
            </w:r>
          </w:p>
        </w:tc>
        <w:tc>
          <w:tcPr>
            <w:tcW w:w="3600" w:type="dxa"/>
            <w:shd w:val="clear" w:color="auto" w:fill="F3F6FA"/>
            <w:vAlign w:val="center"/>
          </w:tcPr>
          <w:p w14:paraId="3C4EC534" w14:textId="77777777" w:rsidR="00FC5B6A" w:rsidRDefault="00000000">
            <w:pPr>
              <w:rPr>
                <w:rFonts w:hint="eastAsia"/>
              </w:rPr>
            </w:pPr>
            <w:r>
              <w:rPr>
                <w:sz w:val="17"/>
              </w:rPr>
              <w:t>National exercise assessed market relevance and digital maturity; 84 higher-education leaders joined the roundtable.</w:t>
            </w:r>
          </w:p>
        </w:tc>
        <w:tc>
          <w:tcPr>
            <w:tcW w:w="3456" w:type="dxa"/>
            <w:shd w:val="clear" w:color="auto" w:fill="F3F6FA"/>
            <w:vAlign w:val="center"/>
          </w:tcPr>
          <w:p w14:paraId="34F01EE1" w14:textId="77777777" w:rsidR="00FC5B6A" w:rsidRDefault="00000000">
            <w:pPr>
              <w:rPr>
                <w:rFonts w:hint="eastAsia"/>
              </w:rPr>
            </w:pPr>
            <w:r>
              <w:rPr>
                <w:sz w:val="17"/>
              </w:rPr>
              <w:t>Institution-level benchmarking can link curriculum, employability and AI readiness.</w:t>
            </w:r>
          </w:p>
        </w:tc>
      </w:tr>
      <w:tr w:rsidR="00FC5B6A" w14:paraId="057750AA" w14:textId="77777777">
        <w:trPr>
          <w:jc w:val="center"/>
        </w:trPr>
        <w:tc>
          <w:tcPr>
            <w:tcW w:w="2304" w:type="dxa"/>
            <w:vAlign w:val="center"/>
          </w:tcPr>
          <w:p w14:paraId="19BAA30C" w14:textId="77777777" w:rsidR="00FC5B6A" w:rsidRDefault="00000000">
            <w:pPr>
              <w:rPr>
                <w:rFonts w:hint="eastAsia"/>
              </w:rPr>
            </w:pPr>
            <w:r>
              <w:rPr>
                <w:sz w:val="17"/>
              </w:rPr>
              <w:t>ECOWAS AI agenda, 2026</w:t>
            </w:r>
          </w:p>
        </w:tc>
        <w:tc>
          <w:tcPr>
            <w:tcW w:w="3600" w:type="dxa"/>
            <w:vAlign w:val="center"/>
          </w:tcPr>
          <w:p w14:paraId="280DD269" w14:textId="77777777" w:rsidR="00FC5B6A" w:rsidRDefault="00000000">
            <w:pPr>
              <w:rPr>
                <w:rFonts w:hint="eastAsia"/>
              </w:rPr>
            </w:pPr>
            <w:r>
              <w:rPr>
                <w:sz w:val="17"/>
              </w:rPr>
              <w:t>Regional youth forum highlighted integration of digital technology and AI into educational pathways.</w:t>
            </w:r>
          </w:p>
        </w:tc>
        <w:tc>
          <w:tcPr>
            <w:tcW w:w="3456" w:type="dxa"/>
            <w:vAlign w:val="center"/>
          </w:tcPr>
          <w:p w14:paraId="354DD1D3" w14:textId="77777777" w:rsidR="00FC5B6A" w:rsidRDefault="00000000">
            <w:pPr>
              <w:rPr>
                <w:rFonts w:hint="eastAsia"/>
              </w:rPr>
            </w:pPr>
            <w:r>
              <w:rPr>
                <w:sz w:val="17"/>
              </w:rPr>
              <w:t>AI literacy is becoming a regional human-capital priority.</w:t>
            </w:r>
          </w:p>
        </w:tc>
      </w:tr>
    </w:tbl>
    <w:p w14:paraId="4D5E4866" w14:textId="77777777" w:rsidR="00FC5B6A" w:rsidRDefault="00FC5B6A">
      <w:pPr>
        <w:rPr>
          <w:rFonts w:hint="eastAsia"/>
        </w:rPr>
      </w:pPr>
    </w:p>
    <w:p w14:paraId="350C4533" w14:textId="77777777" w:rsidR="00FC5B6A" w:rsidRDefault="00000000">
      <w:pPr>
        <w:pStyle w:val="Heading1"/>
      </w:pPr>
      <w:r>
        <w:t>1. Introduction</w:t>
      </w:r>
    </w:p>
    <w:p w14:paraId="32C78EB1" w14:textId="77777777" w:rsidR="00FC5B6A" w:rsidRDefault="00000000">
      <w:pPr>
        <w:rPr>
          <w:rFonts w:hint="eastAsia"/>
        </w:rPr>
      </w:pPr>
      <w:r>
        <w:t>West Africa is entering a phase in which digital capability is no longer confined to ICT occupations. Data handling, online collaboration, digital communication, automation, AI-assisted work, platform use and cyber hygiene increasingly cut across finance, agriculture, health, engineering, education, media, public administration and entrepreneurship. Higher education therefore faces a dual mandate: produce specialist digital professionals and ensure that non-ICT graduates possess sufficient digital fluency to function in technology-intensive workplaces.</w:t>
      </w:r>
    </w:p>
    <w:p w14:paraId="2CB9FBFC" w14:textId="77777777" w:rsidR="00FC5B6A" w:rsidRDefault="00000000">
      <w:pPr>
        <w:rPr>
          <w:rFonts w:hint="eastAsia"/>
        </w:rPr>
      </w:pPr>
      <w:r>
        <w:t>The challenge is not simply to add more computer courses. A credible digital-skills system must connect infrastructure, curriculum, teaching capacity, practical experience, assessment and labour-market relevance. It must also respond to rapid technological change without allowing short-term tool training to displace durable competencies such as computational thinking, data literacy, problem solving, communication, ethics and the ability to learn new systems.</w:t>
      </w:r>
    </w:p>
    <w:p w14:paraId="7604CAA9" w14:textId="77777777" w:rsidR="00FC5B6A" w:rsidRDefault="00000000">
      <w:pPr>
        <w:pStyle w:val="Heading2"/>
      </w:pPr>
      <w:r>
        <w:t>1.1 Scope and method</w:t>
      </w:r>
    </w:p>
    <w:p w14:paraId="30DFA69D" w14:textId="77777777" w:rsidR="00FC5B6A" w:rsidRDefault="00000000">
      <w:pPr>
        <w:rPr>
          <w:rFonts w:hint="eastAsia"/>
        </w:rPr>
      </w:pPr>
      <w:r>
        <w:t>This is a regional synthesis rather than a census of every West African tertiary institution. It reviews available recent evidence and selected country examples, with particular attention to Nigeria, Ghana, Senegal and Côte d'Ivoire because these countries have comparatively visible diagnostics or programmes in the source base. Evidence from broader education and TVET initiatives is used only where it illuminates pipelines, teacher capability or institutional conditions relevant to tertiary education.</w:t>
      </w:r>
    </w:p>
    <w:p w14:paraId="0F079A33" w14:textId="77777777" w:rsidR="00FC5B6A" w:rsidRDefault="00000000">
      <w:pPr>
        <w:rPr>
          <w:rFonts w:hint="eastAsia"/>
        </w:rPr>
      </w:pPr>
      <w:r>
        <w:t>A central methodological limitation is the absence of a single harmonised dataset measuring digital-skills outcomes across West African higher-education institutions. Accordingly, the report distinguishes documented evidence from regional interpretation and does not rank countries.</w:t>
      </w:r>
    </w:p>
    <w:p w14:paraId="31B33CBE" w14:textId="77777777" w:rsidR="00FC5B6A" w:rsidRDefault="00000000">
      <w:pPr>
        <w:pStyle w:val="Heading1"/>
      </w:pPr>
      <w:r>
        <w:t>2. What Counts as Digital Skills?</w:t>
      </w:r>
    </w:p>
    <w:p w14:paraId="442E10ED" w14:textId="77777777" w:rsidR="00FC5B6A" w:rsidRDefault="00000000">
      <w:pPr>
        <w:rPr>
          <w:rFonts w:hint="eastAsia"/>
        </w:rPr>
      </w:pPr>
      <w:r>
        <w:t>Digital skills exist on a continuum. The World Bank's Ghana digital-economy diagnostic distinguishes basic, intermediate and advanced digital skills. That framing remains useful for higher education because it separates routine device use from task-oriented professional capability and specialist technology production.</w:t>
      </w:r>
    </w:p>
    <w:tbl>
      <w:tblPr>
        <w:tblStyle w:val="TableGrid"/>
        <w:tblW w:w="0" w:type="auto"/>
        <w:jc w:val="center"/>
        <w:tblLook w:val="04A0" w:firstRow="1" w:lastRow="0" w:firstColumn="1" w:lastColumn="0" w:noHBand="0" w:noVBand="1"/>
      </w:tblPr>
      <w:tblGrid>
        <w:gridCol w:w="1728"/>
        <w:gridCol w:w="4320"/>
        <w:gridCol w:w="3600"/>
      </w:tblGrid>
      <w:tr w:rsidR="00FC5B6A" w14:paraId="09A9F17E" w14:textId="77777777">
        <w:trPr>
          <w:jc w:val="center"/>
        </w:trPr>
        <w:tc>
          <w:tcPr>
            <w:tcW w:w="1728" w:type="dxa"/>
            <w:shd w:val="clear" w:color="auto" w:fill="17365D"/>
            <w:vAlign w:val="center"/>
          </w:tcPr>
          <w:p w14:paraId="364C2E03" w14:textId="77777777" w:rsidR="00FC5B6A" w:rsidRDefault="00000000">
            <w:pPr>
              <w:rPr>
                <w:rFonts w:hint="eastAsia"/>
              </w:rPr>
            </w:pPr>
            <w:r>
              <w:rPr>
                <w:b/>
                <w:color w:val="FFFFFF"/>
                <w:sz w:val="18"/>
              </w:rPr>
              <w:t>Level</w:t>
            </w:r>
          </w:p>
        </w:tc>
        <w:tc>
          <w:tcPr>
            <w:tcW w:w="4320" w:type="dxa"/>
            <w:shd w:val="clear" w:color="auto" w:fill="17365D"/>
            <w:vAlign w:val="center"/>
          </w:tcPr>
          <w:p w14:paraId="238E01BB" w14:textId="77777777" w:rsidR="00FC5B6A" w:rsidRDefault="00000000">
            <w:pPr>
              <w:rPr>
                <w:rFonts w:hint="eastAsia"/>
              </w:rPr>
            </w:pPr>
            <w:r>
              <w:rPr>
                <w:b/>
                <w:color w:val="FFFFFF"/>
                <w:sz w:val="18"/>
              </w:rPr>
              <w:t>Illustrative competencies</w:t>
            </w:r>
          </w:p>
        </w:tc>
        <w:tc>
          <w:tcPr>
            <w:tcW w:w="3600" w:type="dxa"/>
            <w:shd w:val="clear" w:color="auto" w:fill="17365D"/>
            <w:vAlign w:val="center"/>
          </w:tcPr>
          <w:p w14:paraId="19E53834" w14:textId="77777777" w:rsidR="00FC5B6A" w:rsidRDefault="00000000">
            <w:pPr>
              <w:rPr>
                <w:rFonts w:hint="eastAsia"/>
              </w:rPr>
            </w:pPr>
            <w:r>
              <w:rPr>
                <w:b/>
                <w:color w:val="FFFFFF"/>
                <w:sz w:val="18"/>
              </w:rPr>
              <w:t>Higher-education expectation</w:t>
            </w:r>
          </w:p>
        </w:tc>
      </w:tr>
      <w:tr w:rsidR="00FC5B6A" w14:paraId="036CAF05" w14:textId="77777777">
        <w:trPr>
          <w:jc w:val="center"/>
        </w:trPr>
        <w:tc>
          <w:tcPr>
            <w:tcW w:w="1728" w:type="dxa"/>
            <w:vAlign w:val="center"/>
          </w:tcPr>
          <w:p w14:paraId="57A23701" w14:textId="77777777" w:rsidR="00FC5B6A" w:rsidRDefault="00000000">
            <w:pPr>
              <w:rPr>
                <w:rFonts w:hint="eastAsia"/>
              </w:rPr>
            </w:pPr>
            <w:r>
              <w:rPr>
                <w:sz w:val="17"/>
              </w:rPr>
              <w:t>Foundational</w:t>
            </w:r>
          </w:p>
        </w:tc>
        <w:tc>
          <w:tcPr>
            <w:tcW w:w="4320" w:type="dxa"/>
            <w:vAlign w:val="center"/>
          </w:tcPr>
          <w:p w14:paraId="0524FF1A" w14:textId="77777777" w:rsidR="00FC5B6A" w:rsidRDefault="00000000">
            <w:pPr>
              <w:rPr>
                <w:rFonts w:hint="eastAsia"/>
              </w:rPr>
            </w:pPr>
            <w:r>
              <w:rPr>
                <w:sz w:val="17"/>
              </w:rPr>
              <w:t>Device use; online search; email; office productivity; collaboration; cyber hygiene; information literacy.</w:t>
            </w:r>
          </w:p>
        </w:tc>
        <w:tc>
          <w:tcPr>
            <w:tcW w:w="3600" w:type="dxa"/>
            <w:vAlign w:val="center"/>
          </w:tcPr>
          <w:p w14:paraId="775B44D6" w14:textId="77777777" w:rsidR="00FC5B6A" w:rsidRDefault="00000000">
            <w:pPr>
              <w:rPr>
                <w:rFonts w:hint="eastAsia"/>
              </w:rPr>
            </w:pPr>
            <w:r>
              <w:rPr>
                <w:sz w:val="17"/>
              </w:rPr>
              <w:t>Minimum graduate baseline across all disciplines.</w:t>
            </w:r>
          </w:p>
        </w:tc>
      </w:tr>
      <w:tr w:rsidR="00FC5B6A" w14:paraId="2E1128A2" w14:textId="77777777">
        <w:trPr>
          <w:jc w:val="center"/>
        </w:trPr>
        <w:tc>
          <w:tcPr>
            <w:tcW w:w="1728" w:type="dxa"/>
            <w:shd w:val="clear" w:color="auto" w:fill="F3F6FA"/>
            <w:vAlign w:val="center"/>
          </w:tcPr>
          <w:p w14:paraId="7B830E3B" w14:textId="77777777" w:rsidR="00FC5B6A" w:rsidRDefault="00000000">
            <w:pPr>
              <w:rPr>
                <w:rFonts w:hint="eastAsia"/>
              </w:rPr>
            </w:pPr>
            <w:r>
              <w:rPr>
                <w:sz w:val="17"/>
              </w:rPr>
              <w:t>Intermediate</w:t>
            </w:r>
          </w:p>
        </w:tc>
        <w:tc>
          <w:tcPr>
            <w:tcW w:w="4320" w:type="dxa"/>
            <w:shd w:val="clear" w:color="auto" w:fill="F3F6FA"/>
            <w:vAlign w:val="center"/>
          </w:tcPr>
          <w:p w14:paraId="6DC5EF35" w14:textId="77777777" w:rsidR="00FC5B6A" w:rsidRDefault="00000000">
            <w:pPr>
              <w:rPr>
                <w:rFonts w:hint="eastAsia"/>
              </w:rPr>
            </w:pPr>
            <w:r>
              <w:rPr>
                <w:sz w:val="17"/>
              </w:rPr>
              <w:t>Spreadsheets and analytics; digital marketing; visualisation; web tools; databases; discipline-specific platforms; no/low-code automation.</w:t>
            </w:r>
          </w:p>
        </w:tc>
        <w:tc>
          <w:tcPr>
            <w:tcW w:w="3600" w:type="dxa"/>
            <w:shd w:val="clear" w:color="auto" w:fill="F3F6FA"/>
            <w:vAlign w:val="center"/>
          </w:tcPr>
          <w:p w14:paraId="5D76B52B" w14:textId="77777777" w:rsidR="00FC5B6A" w:rsidRDefault="00000000">
            <w:pPr>
              <w:rPr>
                <w:rFonts w:hint="eastAsia"/>
              </w:rPr>
            </w:pPr>
            <w:r>
              <w:rPr>
                <w:sz w:val="17"/>
              </w:rPr>
              <w:t>Embedded within programmes and assessed through authentic tasks.</w:t>
            </w:r>
          </w:p>
        </w:tc>
      </w:tr>
      <w:tr w:rsidR="00FC5B6A" w14:paraId="2E3F47C7" w14:textId="77777777">
        <w:trPr>
          <w:jc w:val="center"/>
        </w:trPr>
        <w:tc>
          <w:tcPr>
            <w:tcW w:w="1728" w:type="dxa"/>
            <w:vAlign w:val="center"/>
          </w:tcPr>
          <w:p w14:paraId="6350ABE9" w14:textId="77777777" w:rsidR="00FC5B6A" w:rsidRDefault="00000000">
            <w:pPr>
              <w:rPr>
                <w:rFonts w:hint="eastAsia"/>
              </w:rPr>
            </w:pPr>
            <w:r>
              <w:rPr>
                <w:sz w:val="17"/>
              </w:rPr>
              <w:t>Advanced</w:t>
            </w:r>
          </w:p>
        </w:tc>
        <w:tc>
          <w:tcPr>
            <w:tcW w:w="4320" w:type="dxa"/>
            <w:vAlign w:val="center"/>
          </w:tcPr>
          <w:p w14:paraId="28DFFA6A" w14:textId="77777777" w:rsidR="00FC5B6A" w:rsidRDefault="00000000">
            <w:pPr>
              <w:rPr>
                <w:rFonts w:hint="eastAsia"/>
              </w:rPr>
            </w:pPr>
            <w:r>
              <w:rPr>
                <w:sz w:val="17"/>
              </w:rPr>
              <w:t>Programming; software engineering; data science; AI/ML; cloud computing; cybersecurity; advanced networking; specialist digital systems.</w:t>
            </w:r>
          </w:p>
        </w:tc>
        <w:tc>
          <w:tcPr>
            <w:tcW w:w="3600" w:type="dxa"/>
            <w:vAlign w:val="center"/>
          </w:tcPr>
          <w:p w14:paraId="33967625" w14:textId="77777777" w:rsidR="00FC5B6A" w:rsidRDefault="00000000">
            <w:pPr>
              <w:rPr>
                <w:rFonts w:hint="eastAsia"/>
              </w:rPr>
            </w:pPr>
            <w:r>
              <w:rPr>
                <w:sz w:val="17"/>
              </w:rPr>
              <w:t>Specialist programmes, minors, electives and industry-linked pathways.</w:t>
            </w:r>
          </w:p>
        </w:tc>
      </w:tr>
      <w:tr w:rsidR="00FC5B6A" w14:paraId="30BEAE9F" w14:textId="77777777">
        <w:trPr>
          <w:jc w:val="center"/>
        </w:trPr>
        <w:tc>
          <w:tcPr>
            <w:tcW w:w="1728" w:type="dxa"/>
            <w:shd w:val="clear" w:color="auto" w:fill="F3F6FA"/>
            <w:vAlign w:val="center"/>
          </w:tcPr>
          <w:p w14:paraId="4CB16B11" w14:textId="77777777" w:rsidR="00FC5B6A" w:rsidRDefault="00000000">
            <w:pPr>
              <w:rPr>
                <w:rFonts w:hint="eastAsia"/>
              </w:rPr>
            </w:pPr>
            <w:r>
              <w:rPr>
                <w:sz w:val="17"/>
              </w:rPr>
              <w:t>AI-era transversal</w:t>
            </w:r>
          </w:p>
        </w:tc>
        <w:tc>
          <w:tcPr>
            <w:tcW w:w="4320" w:type="dxa"/>
            <w:shd w:val="clear" w:color="auto" w:fill="F3F6FA"/>
            <w:vAlign w:val="center"/>
          </w:tcPr>
          <w:p w14:paraId="4D6559D8" w14:textId="77777777" w:rsidR="00FC5B6A" w:rsidRDefault="00000000">
            <w:pPr>
              <w:rPr>
                <w:rFonts w:hint="eastAsia"/>
              </w:rPr>
            </w:pPr>
            <w:r>
              <w:rPr>
                <w:sz w:val="17"/>
              </w:rPr>
              <w:t>Prompting and verification; responsible AI use; model limitations; data/privacy awareness; AI-assisted research and productivity.</w:t>
            </w:r>
          </w:p>
        </w:tc>
        <w:tc>
          <w:tcPr>
            <w:tcW w:w="3600" w:type="dxa"/>
            <w:shd w:val="clear" w:color="auto" w:fill="F3F6FA"/>
            <w:vAlign w:val="center"/>
          </w:tcPr>
          <w:p w14:paraId="4434982C" w14:textId="77777777" w:rsidR="00FC5B6A" w:rsidRDefault="00000000">
            <w:pPr>
              <w:rPr>
                <w:rFonts w:hint="eastAsia"/>
              </w:rPr>
            </w:pPr>
            <w:r>
              <w:rPr>
                <w:sz w:val="17"/>
              </w:rPr>
              <w:t>Required across disciplines, with deeper pathways for technical fields.</w:t>
            </w:r>
          </w:p>
        </w:tc>
      </w:tr>
    </w:tbl>
    <w:p w14:paraId="1E3DCD0D" w14:textId="77777777" w:rsidR="00FC5B6A" w:rsidRDefault="00FC5B6A">
      <w:pPr>
        <w:rPr>
          <w:rFonts w:hint="eastAsia"/>
        </w:rPr>
      </w:pPr>
    </w:p>
    <w:p w14:paraId="43F0238B" w14:textId="77777777" w:rsidR="00FC5B6A" w:rsidRDefault="00000000">
      <w:pPr>
        <w:rPr>
          <w:rFonts w:hint="eastAsia"/>
        </w:rPr>
      </w:pPr>
      <w:r>
        <w:t>Communication skills alone should not be mistaken for digital competence. ITU's 2024 framework measures skills across communication/collaboration, problem solving, safety, digital-content creation, and information/data literacy. This multidimensional approach is especially relevant to universities: students may be highly active online while lacking the ability to evaluate information, manipulate data, secure accounts, create digital artefacts or solve unfamiliar technical problems.</w:t>
      </w:r>
    </w:p>
    <w:p w14:paraId="6E9071B2" w14:textId="77777777" w:rsidR="00FC5B6A" w:rsidRDefault="00000000">
      <w:pPr>
        <w:pStyle w:val="Heading1"/>
      </w:pPr>
      <w:r>
        <w:t>3. Regional Landscape: Access Is Improving, Capability Remains Uneven</w:t>
      </w:r>
    </w:p>
    <w:p w14:paraId="3666B094" w14:textId="77777777" w:rsidR="00FC5B6A" w:rsidRDefault="00000000">
      <w:pPr>
        <w:rPr>
          <w:rFonts w:hint="eastAsia"/>
        </w:rPr>
      </w:pPr>
      <w:r>
        <w:t>West African higher education operates within a broader connectivity environment that remains constrained by cost, coverage, reliability and household access. ITU's 2024 estimate that 38% of Africa's population used the Internet—well below the global 68%—illustrates the structural gap. For universities, the practical consequence is that blended and online learning models can reproduce inequality when students are expected to supply their own devices, data and stable electricity.</w:t>
      </w:r>
    </w:p>
    <w:p w14:paraId="1C90DB6F" w14:textId="77777777" w:rsidR="00FC5B6A" w:rsidRDefault="00000000">
      <w:pPr>
        <w:rPr>
          <w:rFonts w:hint="eastAsia"/>
        </w:rPr>
      </w:pPr>
      <w:r>
        <w:t>Digital transformation has nevertheless accelerated. UNESCO's ICT Transforming Education in Africa initiative worked in Côte d'Ivoire, Ghana and Senegal during its second phase (2020–2023), focusing on policy, teacher capacity, digital learning environments and student skills. UNESCO is also supporting digital transformation activities across several West African countries, including Nigeria, Ghana, Senegal and Mali. These programmes indicate a policy shift from isolated computerisation toward system-level digital education.</w:t>
      </w:r>
    </w:p>
    <w:p w14:paraId="7C3EF79B" w14:textId="77777777" w:rsidR="00FC5B6A" w:rsidRDefault="00000000">
      <w:pPr>
        <w:rPr>
          <w:rFonts w:hint="eastAsia"/>
        </w:rPr>
      </w:pPr>
      <w:r>
        <w:t>At the regional governance level, ECOWAS is developing a new education policy and action plan intended, among other objectives, to support curriculum reforms aligned with labour-market needs and strengthen institutional capacity. In May 2026, an ECOWAS youth forum on AI further highlighted the urgency of integrating digital technology and AI into educational pathways.</w:t>
      </w:r>
    </w:p>
    <w:p w14:paraId="16ADDDB0" w14:textId="77777777" w:rsidR="00FC5B6A" w:rsidRDefault="00000000">
      <w:pPr>
        <w:pStyle w:val="Heading1"/>
      </w:pPr>
      <w:r>
        <w:t>4. Current Models of Digital-Skills Training</w:t>
      </w:r>
    </w:p>
    <w:p w14:paraId="271E5D77" w14:textId="77777777" w:rsidR="00FC5B6A" w:rsidRDefault="00000000">
      <w:pPr>
        <w:rPr>
          <w:rFonts w:hint="eastAsia"/>
        </w:rPr>
      </w:pPr>
      <w:r>
        <w:t>Across the region, digital skills are typically delivered through six overlapping models:</w:t>
      </w:r>
    </w:p>
    <w:p w14:paraId="52F45E5E" w14:textId="77777777" w:rsidR="00FC5B6A" w:rsidRDefault="00000000">
      <w:pPr>
        <w:pStyle w:val="ListBullet"/>
        <w:rPr>
          <w:rFonts w:hint="eastAsia"/>
        </w:rPr>
      </w:pPr>
      <w:r>
        <w:t>Degree-based specialist education in computer science, information systems, engineering, statistics, data science and related fields.</w:t>
      </w:r>
    </w:p>
    <w:p w14:paraId="03D52893" w14:textId="77777777" w:rsidR="00FC5B6A" w:rsidRDefault="00000000">
      <w:pPr>
        <w:pStyle w:val="ListBullet"/>
        <w:rPr>
          <w:rFonts w:hint="eastAsia"/>
        </w:rPr>
      </w:pPr>
      <w:r>
        <w:t>General ICT or computer-appreciation courses required for students across faculties.</w:t>
      </w:r>
    </w:p>
    <w:p w14:paraId="23823C83" w14:textId="77777777" w:rsidR="00FC5B6A" w:rsidRDefault="00000000">
      <w:pPr>
        <w:pStyle w:val="ListBullet"/>
        <w:rPr>
          <w:rFonts w:hint="eastAsia"/>
        </w:rPr>
      </w:pPr>
      <w:r>
        <w:t>Discipline-embedded digital tools, such as statistical packages, geographic information systems, accounting platforms, design software and research tools.</w:t>
      </w:r>
    </w:p>
    <w:p w14:paraId="56582E67" w14:textId="77777777" w:rsidR="00FC5B6A" w:rsidRDefault="00000000">
      <w:pPr>
        <w:pStyle w:val="ListBullet"/>
        <w:rPr>
          <w:rFonts w:hint="eastAsia"/>
        </w:rPr>
      </w:pPr>
      <w:r>
        <w:t>Short courses, boot camps, hackathons and innovation-hub programmes, often delivered with technology firms, NGOs or development partners.</w:t>
      </w:r>
    </w:p>
    <w:p w14:paraId="0FF903D5" w14:textId="77777777" w:rsidR="00FC5B6A" w:rsidRDefault="00000000">
      <w:pPr>
        <w:pStyle w:val="ListBullet"/>
        <w:rPr>
          <w:rFonts w:hint="eastAsia"/>
        </w:rPr>
      </w:pPr>
      <w:r>
        <w:t>Professional and vendor certifications that sit alongside formal degrees.</w:t>
      </w:r>
    </w:p>
    <w:p w14:paraId="5F14B0C2" w14:textId="77777777" w:rsidR="00FC5B6A" w:rsidRDefault="00000000">
      <w:pPr>
        <w:pStyle w:val="ListBullet"/>
        <w:rPr>
          <w:rFonts w:hint="eastAsia"/>
        </w:rPr>
      </w:pPr>
      <w:r>
        <w:t>Virtual and hybrid learning systems that build practical digital fluency through repeated use of online platforms.</w:t>
      </w:r>
    </w:p>
    <w:p w14:paraId="37CDED07" w14:textId="77777777" w:rsidR="00FC5B6A" w:rsidRDefault="00000000">
      <w:pPr>
        <w:rPr>
          <w:rFonts w:hint="eastAsia"/>
        </w:rPr>
      </w:pPr>
      <w:r>
        <w:t>The strength of this plural model is flexibility. Its weakness is fragmentation. Students in the same institution may graduate with very different digital exposure depending on programme, lecturer, device ownership, extracurricular participation and access to external training. A university can therefore possess an e-learning platform and modern ICT centre while still producing graduates whose applied digital competence varies widely.</w:t>
      </w:r>
    </w:p>
    <w:p w14:paraId="720AE441" w14:textId="77777777" w:rsidR="00FC5B6A" w:rsidRDefault="00000000">
      <w:pPr>
        <w:pStyle w:val="Heading1"/>
      </w:pPr>
      <w:r>
        <w:t>5. Country and Institutional Signals</w:t>
      </w:r>
    </w:p>
    <w:p w14:paraId="26E39317" w14:textId="77777777" w:rsidR="00FC5B6A" w:rsidRDefault="00000000">
      <w:pPr>
        <w:pStyle w:val="Heading2"/>
      </w:pPr>
      <w:r>
        <w:t>5.1 Nigeria</w:t>
      </w:r>
    </w:p>
    <w:p w14:paraId="038EAE67" w14:textId="77777777" w:rsidR="00FC5B6A" w:rsidRDefault="00000000">
      <w:pPr>
        <w:rPr>
          <w:rFonts w:hint="eastAsia"/>
        </w:rPr>
      </w:pPr>
      <w:r>
        <w:t>Nigeria's scale makes it central to the regional skills picture. A World Bank 2024 policy note on digital skills in Nigeria explicitly examines both population skills and the availability of digital infrastructure in educational institutions, underscoring the connection between access and competence. Separately, World Bank analysis of online job vacancies from 2020 to June 2024 provides a more granular basis for understanding changing skill demand.</w:t>
      </w:r>
    </w:p>
    <w:p w14:paraId="13C55F1E" w14:textId="77777777" w:rsidR="00FC5B6A" w:rsidRDefault="00000000">
      <w:pPr>
        <w:rPr>
          <w:rFonts w:hint="eastAsia"/>
        </w:rPr>
      </w:pPr>
      <w:r>
        <w:t>For higher education, the policy implication is to move beyond generic ICT literacy toward measurable capabilities linked to actual occupational demand. Nigeria also participates in UNESCO's BEAR III programme (2023–2027), which seeks to improve the labour-market relevance and quality of skills systems. Although BEAR III is focused on TVET, its emphasis on sector skills councils, emerging technologies and employer relevance offers a transferable model for tertiary institutions.</w:t>
      </w:r>
    </w:p>
    <w:p w14:paraId="15DEB022" w14:textId="77777777" w:rsidR="00FC5B6A" w:rsidRDefault="00000000">
      <w:pPr>
        <w:pStyle w:val="Heading2"/>
      </w:pPr>
      <w:r>
        <w:t>5.2 Ghana</w:t>
      </w:r>
    </w:p>
    <w:p w14:paraId="1B17BE9A" w14:textId="77777777" w:rsidR="00FC5B6A" w:rsidRDefault="00000000">
      <w:pPr>
        <w:rPr>
          <w:rFonts w:hint="eastAsia"/>
        </w:rPr>
      </w:pPr>
      <w:r>
        <w:t>Ghana's digital-economy diagnostic provides a clear skills taxonomy and recognises digital human capital as a foundation of the digital economy. The country also participated in UNESCO's ICT Transforming Education in Africa programme from 2020 to 2023. The important lesson for higher education is that national ambitions to become a digital-services and innovation hub depend not only on specialist ICT graduates but also on broad intermediate digital competence across the workforce.</w:t>
      </w:r>
    </w:p>
    <w:p w14:paraId="78F7E0E6" w14:textId="77777777" w:rsidR="00FC5B6A" w:rsidRDefault="00000000">
      <w:pPr>
        <w:pStyle w:val="Heading2"/>
      </w:pPr>
      <w:r>
        <w:t>5.3 Senegal</w:t>
      </w:r>
    </w:p>
    <w:p w14:paraId="587BD848" w14:textId="77777777" w:rsidR="00FC5B6A" w:rsidRDefault="00000000">
      <w:pPr>
        <w:rPr>
          <w:rFonts w:hint="eastAsia"/>
        </w:rPr>
      </w:pPr>
      <w:r>
        <w:t>Senegal offers one of the clearest examples of higher-education digital transformation in the region. Earlier reforms prioritised digital technologies in tertiary education and included the development of the Virtual University of Senegal. More recently, IFC and the World Bank worked with the Ministry of Higher Education, Research and Innovation on a nationwide benchmarking exercise assessing market relevance and digital maturity. A national roundtable brought together 84 higher-education leaders to discuss employability, digital skills and AI-supported career preparation.</w:t>
      </w:r>
    </w:p>
    <w:p w14:paraId="22251E65" w14:textId="77777777" w:rsidR="00FC5B6A" w:rsidRDefault="00000000">
      <w:pPr>
        <w:rPr>
          <w:rFonts w:hint="eastAsia"/>
        </w:rPr>
      </w:pPr>
      <w:r>
        <w:t>The follow-on work—graduate tracer studies and industry advisory committees—illustrates a particularly valuable direction for the region: digital-skills reform should be tested against graduate outcomes and employer needs rather than judged only by course availability.</w:t>
      </w:r>
    </w:p>
    <w:p w14:paraId="050BD32D" w14:textId="77777777" w:rsidR="00FC5B6A" w:rsidRDefault="00000000">
      <w:pPr>
        <w:pStyle w:val="Heading2"/>
      </w:pPr>
      <w:r>
        <w:t>5.4 Côte d'Ivoire</w:t>
      </w:r>
    </w:p>
    <w:p w14:paraId="31B10797" w14:textId="77777777" w:rsidR="00FC5B6A" w:rsidRDefault="00000000">
      <w:pPr>
        <w:rPr>
          <w:rFonts w:hint="eastAsia"/>
        </w:rPr>
      </w:pPr>
      <w:r>
        <w:t>Côte d'Ivoire combines long-standing concerns about unequal digital-training quality with newer investments in employability and hybrid learning. World Bank analysis has previously identified weak instructor expertise, equipment constraints and quality disparities in digital-skills training. More recent World Bank-supported work has focused on youth employability through digital skills and resilient hybrid learning, while the country's inclusive digitalisation programme includes themes such as digital literacy, intermediate and advanced skills, AI, cloud computing, cybersecurity and digital jobs.</w:t>
      </w:r>
    </w:p>
    <w:p w14:paraId="6F7D0611" w14:textId="77777777" w:rsidR="00FC5B6A" w:rsidRDefault="00000000">
      <w:pPr>
        <w:rPr>
          <w:rFonts w:hint="eastAsia"/>
        </w:rPr>
      </w:pPr>
      <w:r>
        <w:t>A 2026 completion report on digital readiness among education personnel also highlighted low AI-assistant use and recommended progressive, modular digital-skills training and ethical introduction of AI tools. While that evidence is not limited to universities, it reinforces a regional point: faculty capability and institutional support are prerequisites for student capability.</w:t>
      </w:r>
    </w:p>
    <w:p w14:paraId="2A5EAEB1" w14:textId="77777777" w:rsidR="00FC5B6A" w:rsidRDefault="00000000">
      <w:pPr>
        <w:pStyle w:val="Heading1"/>
      </w:pPr>
      <w:r>
        <w:t>6. The Central Gaps</w:t>
      </w:r>
    </w:p>
    <w:p w14:paraId="0D60812A" w14:textId="77777777" w:rsidR="00FC5B6A" w:rsidRDefault="00000000">
      <w:pPr>
        <w:pStyle w:val="Heading2"/>
      </w:pPr>
      <w:r>
        <w:t>6.1 Infrastructure and affordability</w:t>
      </w:r>
    </w:p>
    <w:p w14:paraId="4A47D8F6" w14:textId="77777777" w:rsidR="00FC5B6A" w:rsidRDefault="00000000">
      <w:pPr>
        <w:rPr>
          <w:rFonts w:hint="eastAsia"/>
        </w:rPr>
      </w:pPr>
      <w:r>
        <w:t>Digital-skills training is practice-intensive. Students need repeated access to devices, connectivity, software, data environments and—in advanced fields—computing resources. Where access is intermittent, courses can become theoretical. Institutions therefore need to measure not only whether facilities exist but whether students can reliably use them at the frequency required for competence.</w:t>
      </w:r>
    </w:p>
    <w:p w14:paraId="415B31C1" w14:textId="77777777" w:rsidR="00FC5B6A" w:rsidRDefault="00000000">
      <w:pPr>
        <w:pStyle w:val="Heading2"/>
      </w:pPr>
      <w:r>
        <w:t>6.2 Faculty capability</w:t>
      </w:r>
    </w:p>
    <w:p w14:paraId="62909187" w14:textId="77777777" w:rsidR="00FC5B6A" w:rsidRDefault="00000000">
      <w:pPr>
        <w:rPr>
          <w:rFonts w:hint="eastAsia"/>
        </w:rPr>
      </w:pPr>
      <w:r>
        <w:t>Faculty development is often treated as a one-off workshop rather than a continuous professional requirement. This is increasingly untenable. AI, cybersecurity, data tools and cloud platforms change quickly, and lecturers need structured opportunities to refresh both technical knowledge and digital pedagogy. Institutions should recognise industry engagement, certification and applied digital teaching as legitimate components of academic development.</w:t>
      </w:r>
    </w:p>
    <w:p w14:paraId="5F2BCEC5" w14:textId="77777777" w:rsidR="00FC5B6A" w:rsidRDefault="00000000">
      <w:pPr>
        <w:pStyle w:val="Heading2"/>
      </w:pPr>
      <w:r>
        <w:t>6.3 Curriculum latency</w:t>
      </w:r>
    </w:p>
    <w:p w14:paraId="2EA83688" w14:textId="77777777" w:rsidR="00FC5B6A" w:rsidRDefault="00000000">
      <w:pPr>
        <w:rPr>
          <w:rFonts w:hint="eastAsia"/>
        </w:rPr>
      </w:pPr>
      <w:r>
        <w:t>Traditional curriculum approval cycles are poorly matched to fast-changing technologies. The solution is not constant wholesale degree redesign. Universities can create stable programme outcomes while using modular electives, microcredentials, project studios and annually refreshed tool components to keep delivery current.</w:t>
      </w:r>
    </w:p>
    <w:p w14:paraId="0640C684" w14:textId="77777777" w:rsidR="00FC5B6A" w:rsidRDefault="00000000">
      <w:pPr>
        <w:pStyle w:val="Heading2"/>
      </w:pPr>
      <w:r>
        <w:t>6.4 Practical experience and assessment</w:t>
      </w:r>
    </w:p>
    <w:p w14:paraId="7E0C77E3" w14:textId="77777777" w:rsidR="00FC5B6A" w:rsidRDefault="00000000">
      <w:pPr>
        <w:rPr>
          <w:rFonts w:hint="eastAsia"/>
        </w:rPr>
      </w:pPr>
      <w:r>
        <w:t>Digital competence is best demonstrated through performance. Examinations that ask students to define databases, cybersecurity or AI cannot substitute for tasks that require them to analyse a dataset, build a simple application, secure a workflow, automate a process, create a digital product or critically verify AI-generated output. Portfolio-based assessment should therefore become more prominent.</w:t>
      </w:r>
    </w:p>
    <w:p w14:paraId="3F6039AC" w14:textId="77777777" w:rsidR="00FC5B6A" w:rsidRDefault="00000000">
      <w:pPr>
        <w:pStyle w:val="Heading2"/>
      </w:pPr>
      <w:r>
        <w:t>6.5 Inclusion</w:t>
      </w:r>
    </w:p>
    <w:p w14:paraId="69915F36" w14:textId="77777777" w:rsidR="00FC5B6A" w:rsidRDefault="00000000">
      <w:pPr>
        <w:rPr>
          <w:rFonts w:hint="eastAsia"/>
        </w:rPr>
      </w:pPr>
      <w:r>
        <w:t>Device ownership, data affordability, disability, gender, geography and prior schooling can all affect digital participation. A mandatory digital-skills agenda without access support may widen rather than narrow inequality. Institutions need loan schemes, accessible labs, low-bandwidth course design, assistive technologies and targeted support for students entering with weaker digital foundations.</w:t>
      </w:r>
    </w:p>
    <w:p w14:paraId="08FE91C2" w14:textId="77777777" w:rsidR="00FC5B6A" w:rsidRDefault="00000000">
      <w:pPr>
        <w:pStyle w:val="Heading2"/>
      </w:pPr>
      <w:r>
        <w:t>6.6 Measurement</w:t>
      </w:r>
    </w:p>
    <w:p w14:paraId="292A6B9C" w14:textId="77777777" w:rsidR="00FC5B6A" w:rsidRDefault="00000000">
      <w:pPr>
        <w:rPr>
          <w:rFonts w:hint="eastAsia"/>
        </w:rPr>
      </w:pPr>
      <w:r>
        <w:t>The region needs stronger evidence on what students can actually do. ITU's observation that comparable ICT-skill data remain scarce is directly relevant. Universities and regulators should adopt common competency domains and collect institution-level evidence while avoiding simplistic rankings that ignore programme mix and student background.</w:t>
      </w:r>
    </w:p>
    <w:p w14:paraId="5B6F18FC" w14:textId="77777777" w:rsidR="00FC5B6A" w:rsidRDefault="00000000">
      <w:pPr>
        <w:pStyle w:val="Heading1"/>
      </w:pPr>
      <w:r>
        <w:t>7. Labour-Market Alignment and Graduate Employability</w:t>
      </w:r>
    </w:p>
    <w:p w14:paraId="501E692B" w14:textId="77777777" w:rsidR="00FC5B6A" w:rsidRDefault="00000000">
      <w:pPr>
        <w:rPr>
          <w:rFonts w:hint="eastAsia"/>
        </w:rPr>
      </w:pPr>
      <w:r>
        <w:t>The digital-skills question is ultimately an employability and productivity question. Employers increasingly need graduates who can operate in digital workflows, interpret data, communicate through collaborative platforms, protect information, learn unfamiliar software and use AI responsibly. Specialist technology roles add deeper requirements in programming, cloud, cybersecurity, data engineering and AI.</w:t>
      </w:r>
    </w:p>
    <w:p w14:paraId="39B5667F" w14:textId="77777777" w:rsidR="00FC5B6A" w:rsidRDefault="00000000">
      <w:pPr>
        <w:rPr>
          <w:rFonts w:hint="eastAsia"/>
        </w:rPr>
      </w:pPr>
      <w:r>
        <w:t>Three mechanisms can substantially improve alignment. First, employer advisory committees can review competencies and project briefs annually. Second, graduate tracer studies can test whether programmes translate into employment and relevant work. Third, structured internships, apprenticeships, capstone projects and challenge-based learning can expose students to real systems and constraints. Senegal's current benchmarking and follow-on tracer/advisory work provides a useful regional example.</w:t>
      </w:r>
    </w:p>
    <w:p w14:paraId="7F29E1BC" w14:textId="77777777" w:rsidR="00FC5B6A" w:rsidRDefault="00000000">
      <w:pPr>
        <w:pStyle w:val="Heading1"/>
      </w:pPr>
      <w:r>
        <w:t>8. Artificial Intelligence Changes the Baseline</w:t>
      </w:r>
    </w:p>
    <w:p w14:paraId="04C5F411" w14:textId="77777777" w:rsidR="00FC5B6A" w:rsidRDefault="00000000">
      <w:pPr>
        <w:rPr>
          <w:rFonts w:hint="eastAsia"/>
        </w:rPr>
      </w:pPr>
      <w:r>
        <w:t>Generative AI has changed the minimum definition of digital literacy. Students now need to know how to formulate effective instructions, evaluate outputs, verify sources, protect confidential information, recognise hallucinations and bias, document AI assistance where required, and understand when automated output is inappropriate. These are not specialist computer-science skills; they are emerging academic and workplace literacies.</w:t>
      </w:r>
    </w:p>
    <w:p w14:paraId="3930F2F0" w14:textId="77777777" w:rsidR="00FC5B6A" w:rsidRDefault="00000000">
      <w:pPr>
        <w:rPr>
          <w:rFonts w:hint="eastAsia"/>
        </w:rPr>
      </w:pPr>
      <w:r>
        <w:t>Universities should avoid two extremes: unrestricted use without governance, and blanket prohibition that leaves graduates unprepared for AI-enabled workplaces. A more durable approach combines clear assessment rules, AI literacy, disciplinary guidance, data-protection safeguards, staff training and redesigned assessment that rewards reasoning, evidence, process and authentic performance.</w:t>
      </w:r>
    </w:p>
    <w:p w14:paraId="25E4B4F6" w14:textId="77777777" w:rsidR="00FC5B6A" w:rsidRDefault="00000000">
      <w:pPr>
        <w:pStyle w:val="Heading2"/>
      </w:pPr>
      <w:r>
        <w:t>Recommended AI-literacy baseline for all students</w:t>
      </w:r>
    </w:p>
    <w:p w14:paraId="51FEF7B0" w14:textId="77777777" w:rsidR="00FC5B6A" w:rsidRDefault="00000000">
      <w:pPr>
        <w:pStyle w:val="ListBullet"/>
        <w:rPr>
          <w:rFonts w:hint="eastAsia"/>
        </w:rPr>
      </w:pPr>
      <w:r>
        <w:t>Understand what generative AI can and cannot reliably do.</w:t>
      </w:r>
    </w:p>
    <w:p w14:paraId="3D710F3A" w14:textId="77777777" w:rsidR="00FC5B6A" w:rsidRDefault="00000000">
      <w:pPr>
        <w:pStyle w:val="ListBullet"/>
        <w:rPr>
          <w:rFonts w:hint="eastAsia"/>
        </w:rPr>
      </w:pPr>
      <w:r>
        <w:t>Use AI tools to support—not replace—reasoning, research and disciplinary judgement.</w:t>
      </w:r>
    </w:p>
    <w:p w14:paraId="3561FA50" w14:textId="77777777" w:rsidR="00FC5B6A" w:rsidRDefault="00000000">
      <w:pPr>
        <w:pStyle w:val="ListBullet"/>
        <w:rPr>
          <w:rFonts w:hint="eastAsia"/>
        </w:rPr>
      </w:pPr>
      <w:r>
        <w:t>Verify factual claims and trace important evidence to authoritative sources.</w:t>
      </w:r>
    </w:p>
    <w:p w14:paraId="0ACCAB87" w14:textId="77777777" w:rsidR="00FC5B6A" w:rsidRDefault="00000000">
      <w:pPr>
        <w:pStyle w:val="ListBullet"/>
        <w:rPr>
          <w:rFonts w:hint="eastAsia"/>
        </w:rPr>
      </w:pPr>
      <w:r>
        <w:t>Protect personal, institutional and confidential data.</w:t>
      </w:r>
    </w:p>
    <w:p w14:paraId="68DD1310" w14:textId="77777777" w:rsidR="00FC5B6A" w:rsidRDefault="00000000">
      <w:pPr>
        <w:pStyle w:val="ListBullet"/>
        <w:rPr>
          <w:rFonts w:hint="eastAsia"/>
        </w:rPr>
      </w:pPr>
      <w:r>
        <w:t>Recognise bias, fabricated content and overconfident output.</w:t>
      </w:r>
    </w:p>
    <w:p w14:paraId="04312F6C" w14:textId="77777777" w:rsidR="00FC5B6A" w:rsidRDefault="00000000">
      <w:pPr>
        <w:pStyle w:val="ListBullet"/>
        <w:rPr>
          <w:rFonts w:hint="eastAsia"/>
        </w:rPr>
      </w:pPr>
      <w:r>
        <w:t>Disclose AI assistance when institutional or professional rules require it.</w:t>
      </w:r>
    </w:p>
    <w:p w14:paraId="6DF4F735" w14:textId="77777777" w:rsidR="00FC5B6A" w:rsidRDefault="00000000">
      <w:pPr>
        <w:pStyle w:val="ListBullet"/>
        <w:rPr>
          <w:rFonts w:hint="eastAsia"/>
        </w:rPr>
      </w:pPr>
      <w:r>
        <w:t>Use AI for productivity while retaining accountability for the final work.</w:t>
      </w:r>
    </w:p>
    <w:p w14:paraId="69BC9633" w14:textId="77777777" w:rsidR="00FC5B6A" w:rsidRDefault="00000000">
      <w:pPr>
        <w:pStyle w:val="Heading1"/>
      </w:pPr>
      <w:r>
        <w:t>9. A Regional Readiness Framework</w:t>
      </w:r>
    </w:p>
    <w:p w14:paraId="02DB1CBD" w14:textId="77777777" w:rsidR="00FC5B6A" w:rsidRDefault="00000000">
      <w:pPr>
        <w:rPr>
          <w:rFonts w:hint="eastAsia"/>
        </w:rPr>
      </w:pPr>
      <w:r>
        <w:t>A practical way to assess institutional readiness is to examine eight dimensions together. Strength in only one or two dimensions is insufficient; for example, infrastructure without faculty capacity produces underused facilities, while strong teaching without access leaves students unable to practise.</w:t>
      </w:r>
    </w:p>
    <w:tbl>
      <w:tblPr>
        <w:tblStyle w:val="TableGrid"/>
        <w:tblW w:w="0" w:type="auto"/>
        <w:jc w:val="center"/>
        <w:tblLook w:val="04A0" w:firstRow="1" w:lastRow="0" w:firstColumn="1" w:lastColumn="0" w:noHBand="0" w:noVBand="1"/>
      </w:tblPr>
      <w:tblGrid>
        <w:gridCol w:w="1800"/>
        <w:gridCol w:w="3528"/>
        <w:gridCol w:w="3960"/>
      </w:tblGrid>
      <w:tr w:rsidR="00FC5B6A" w14:paraId="4E441138" w14:textId="77777777">
        <w:trPr>
          <w:jc w:val="center"/>
        </w:trPr>
        <w:tc>
          <w:tcPr>
            <w:tcW w:w="1800" w:type="dxa"/>
            <w:shd w:val="clear" w:color="auto" w:fill="17365D"/>
            <w:vAlign w:val="center"/>
          </w:tcPr>
          <w:p w14:paraId="2AEA3BF4" w14:textId="77777777" w:rsidR="00FC5B6A" w:rsidRDefault="00000000">
            <w:pPr>
              <w:rPr>
                <w:rFonts w:hint="eastAsia"/>
              </w:rPr>
            </w:pPr>
            <w:r>
              <w:rPr>
                <w:b/>
                <w:color w:val="FFFFFF"/>
                <w:sz w:val="18"/>
              </w:rPr>
              <w:t>Dimension</w:t>
            </w:r>
          </w:p>
        </w:tc>
        <w:tc>
          <w:tcPr>
            <w:tcW w:w="3528" w:type="dxa"/>
            <w:shd w:val="clear" w:color="auto" w:fill="17365D"/>
            <w:vAlign w:val="center"/>
          </w:tcPr>
          <w:p w14:paraId="770AC972" w14:textId="77777777" w:rsidR="00FC5B6A" w:rsidRDefault="00000000">
            <w:pPr>
              <w:rPr>
                <w:rFonts w:hint="eastAsia"/>
              </w:rPr>
            </w:pPr>
            <w:r>
              <w:rPr>
                <w:b/>
                <w:color w:val="FFFFFF"/>
                <w:sz w:val="18"/>
              </w:rPr>
              <w:t>Core question</w:t>
            </w:r>
          </w:p>
        </w:tc>
        <w:tc>
          <w:tcPr>
            <w:tcW w:w="3960" w:type="dxa"/>
            <w:shd w:val="clear" w:color="auto" w:fill="17365D"/>
            <w:vAlign w:val="center"/>
          </w:tcPr>
          <w:p w14:paraId="73DF0808" w14:textId="77777777" w:rsidR="00FC5B6A" w:rsidRDefault="00000000">
            <w:pPr>
              <w:rPr>
                <w:rFonts w:hint="eastAsia"/>
              </w:rPr>
            </w:pPr>
            <w:r>
              <w:rPr>
                <w:b/>
                <w:color w:val="FFFFFF"/>
                <w:sz w:val="18"/>
              </w:rPr>
              <w:t>Illustrative evidence</w:t>
            </w:r>
          </w:p>
        </w:tc>
      </w:tr>
      <w:tr w:rsidR="00FC5B6A" w14:paraId="16B3F821" w14:textId="77777777">
        <w:trPr>
          <w:jc w:val="center"/>
        </w:trPr>
        <w:tc>
          <w:tcPr>
            <w:tcW w:w="1800" w:type="dxa"/>
            <w:vAlign w:val="center"/>
          </w:tcPr>
          <w:p w14:paraId="245563FE" w14:textId="77777777" w:rsidR="00FC5B6A" w:rsidRDefault="00000000">
            <w:pPr>
              <w:rPr>
                <w:rFonts w:hint="eastAsia"/>
              </w:rPr>
            </w:pPr>
            <w:r>
              <w:rPr>
                <w:sz w:val="17"/>
              </w:rPr>
              <w:t>Strategy &amp; governance</w:t>
            </w:r>
          </w:p>
        </w:tc>
        <w:tc>
          <w:tcPr>
            <w:tcW w:w="3528" w:type="dxa"/>
            <w:vAlign w:val="center"/>
          </w:tcPr>
          <w:p w14:paraId="7AE9C828" w14:textId="77777777" w:rsidR="00FC5B6A" w:rsidRDefault="00000000">
            <w:pPr>
              <w:rPr>
                <w:rFonts w:hint="eastAsia"/>
              </w:rPr>
            </w:pPr>
            <w:r>
              <w:rPr>
                <w:sz w:val="17"/>
              </w:rPr>
              <w:t>Is digital capability embedded in institutional strategy?</w:t>
            </w:r>
          </w:p>
        </w:tc>
        <w:tc>
          <w:tcPr>
            <w:tcW w:w="3960" w:type="dxa"/>
            <w:vAlign w:val="center"/>
          </w:tcPr>
          <w:p w14:paraId="75B0B245" w14:textId="77777777" w:rsidR="00FC5B6A" w:rsidRDefault="00000000">
            <w:pPr>
              <w:rPr>
                <w:rFonts w:hint="eastAsia"/>
              </w:rPr>
            </w:pPr>
            <w:r>
              <w:rPr>
                <w:sz w:val="17"/>
              </w:rPr>
              <w:t>Approved strategy; budget; accountable leadership; AI policy.</w:t>
            </w:r>
          </w:p>
        </w:tc>
      </w:tr>
      <w:tr w:rsidR="00FC5B6A" w14:paraId="3391C837" w14:textId="77777777">
        <w:trPr>
          <w:jc w:val="center"/>
        </w:trPr>
        <w:tc>
          <w:tcPr>
            <w:tcW w:w="1800" w:type="dxa"/>
            <w:shd w:val="clear" w:color="auto" w:fill="F3F6FA"/>
            <w:vAlign w:val="center"/>
          </w:tcPr>
          <w:p w14:paraId="1142D598" w14:textId="77777777" w:rsidR="00FC5B6A" w:rsidRDefault="00000000">
            <w:pPr>
              <w:rPr>
                <w:rFonts w:hint="eastAsia"/>
              </w:rPr>
            </w:pPr>
            <w:r>
              <w:rPr>
                <w:sz w:val="17"/>
              </w:rPr>
              <w:t>Infrastructure</w:t>
            </w:r>
          </w:p>
        </w:tc>
        <w:tc>
          <w:tcPr>
            <w:tcW w:w="3528" w:type="dxa"/>
            <w:shd w:val="clear" w:color="auto" w:fill="F3F6FA"/>
            <w:vAlign w:val="center"/>
          </w:tcPr>
          <w:p w14:paraId="4C08E642" w14:textId="77777777" w:rsidR="00FC5B6A" w:rsidRDefault="00000000">
            <w:pPr>
              <w:rPr>
                <w:rFonts w:hint="eastAsia"/>
              </w:rPr>
            </w:pPr>
            <w:r>
              <w:rPr>
                <w:sz w:val="17"/>
              </w:rPr>
              <w:t>Can students practise reliably?</w:t>
            </w:r>
          </w:p>
        </w:tc>
        <w:tc>
          <w:tcPr>
            <w:tcW w:w="3960" w:type="dxa"/>
            <w:shd w:val="clear" w:color="auto" w:fill="F3F6FA"/>
            <w:vAlign w:val="center"/>
          </w:tcPr>
          <w:p w14:paraId="0C765B1B" w14:textId="77777777" w:rsidR="00FC5B6A" w:rsidRDefault="00000000">
            <w:pPr>
              <w:rPr>
                <w:rFonts w:hint="eastAsia"/>
              </w:rPr>
            </w:pPr>
            <w:r>
              <w:rPr>
                <w:sz w:val="17"/>
              </w:rPr>
              <w:t>Connectivity uptime; device-to-student access; labs; cloud resources.</w:t>
            </w:r>
          </w:p>
        </w:tc>
      </w:tr>
      <w:tr w:rsidR="00FC5B6A" w14:paraId="1118F269" w14:textId="77777777">
        <w:trPr>
          <w:jc w:val="center"/>
        </w:trPr>
        <w:tc>
          <w:tcPr>
            <w:tcW w:w="1800" w:type="dxa"/>
            <w:vAlign w:val="center"/>
          </w:tcPr>
          <w:p w14:paraId="7ABAC2AA" w14:textId="77777777" w:rsidR="00FC5B6A" w:rsidRDefault="00000000">
            <w:pPr>
              <w:rPr>
                <w:rFonts w:hint="eastAsia"/>
              </w:rPr>
            </w:pPr>
            <w:r>
              <w:rPr>
                <w:sz w:val="17"/>
              </w:rPr>
              <w:t>Curriculum</w:t>
            </w:r>
          </w:p>
        </w:tc>
        <w:tc>
          <w:tcPr>
            <w:tcW w:w="3528" w:type="dxa"/>
            <w:vAlign w:val="center"/>
          </w:tcPr>
          <w:p w14:paraId="69CAE80B" w14:textId="77777777" w:rsidR="00FC5B6A" w:rsidRDefault="00000000">
            <w:pPr>
              <w:rPr>
                <w:rFonts w:hint="eastAsia"/>
              </w:rPr>
            </w:pPr>
            <w:r>
              <w:rPr>
                <w:sz w:val="17"/>
              </w:rPr>
              <w:t>Are competencies current and discipline-relevant?</w:t>
            </w:r>
          </w:p>
        </w:tc>
        <w:tc>
          <w:tcPr>
            <w:tcW w:w="3960" w:type="dxa"/>
            <w:vAlign w:val="center"/>
          </w:tcPr>
          <w:p w14:paraId="2834EA9B" w14:textId="77777777" w:rsidR="00FC5B6A" w:rsidRDefault="00000000">
            <w:pPr>
              <w:rPr>
                <w:rFonts w:hint="eastAsia"/>
              </w:rPr>
            </w:pPr>
            <w:r>
              <w:rPr>
                <w:sz w:val="17"/>
              </w:rPr>
              <w:t>Mapped outcomes; modular updates; embedded data/AI/cyber content.</w:t>
            </w:r>
          </w:p>
        </w:tc>
      </w:tr>
      <w:tr w:rsidR="00FC5B6A" w14:paraId="3BC762B6" w14:textId="77777777">
        <w:trPr>
          <w:jc w:val="center"/>
        </w:trPr>
        <w:tc>
          <w:tcPr>
            <w:tcW w:w="1800" w:type="dxa"/>
            <w:shd w:val="clear" w:color="auto" w:fill="F3F6FA"/>
            <w:vAlign w:val="center"/>
          </w:tcPr>
          <w:p w14:paraId="05185F2B" w14:textId="77777777" w:rsidR="00FC5B6A" w:rsidRDefault="00000000">
            <w:pPr>
              <w:rPr>
                <w:rFonts w:hint="eastAsia"/>
              </w:rPr>
            </w:pPr>
            <w:r>
              <w:rPr>
                <w:sz w:val="17"/>
              </w:rPr>
              <w:t>Faculty</w:t>
            </w:r>
          </w:p>
        </w:tc>
        <w:tc>
          <w:tcPr>
            <w:tcW w:w="3528" w:type="dxa"/>
            <w:shd w:val="clear" w:color="auto" w:fill="F3F6FA"/>
            <w:vAlign w:val="center"/>
          </w:tcPr>
          <w:p w14:paraId="1307B0DE" w14:textId="77777777" w:rsidR="00FC5B6A" w:rsidRDefault="00000000">
            <w:pPr>
              <w:rPr>
                <w:rFonts w:hint="eastAsia"/>
              </w:rPr>
            </w:pPr>
            <w:r>
              <w:rPr>
                <w:sz w:val="17"/>
              </w:rPr>
              <w:t>Can staff teach and model current practice?</w:t>
            </w:r>
          </w:p>
        </w:tc>
        <w:tc>
          <w:tcPr>
            <w:tcW w:w="3960" w:type="dxa"/>
            <w:shd w:val="clear" w:color="auto" w:fill="F3F6FA"/>
            <w:vAlign w:val="center"/>
          </w:tcPr>
          <w:p w14:paraId="2918E9A0" w14:textId="77777777" w:rsidR="00FC5B6A" w:rsidRDefault="00000000">
            <w:pPr>
              <w:rPr>
                <w:rFonts w:hint="eastAsia"/>
              </w:rPr>
            </w:pPr>
            <w:r>
              <w:rPr>
                <w:sz w:val="17"/>
              </w:rPr>
              <w:t>CPD participation; certifications; industry exposure; digital pedagogy.</w:t>
            </w:r>
          </w:p>
        </w:tc>
      </w:tr>
      <w:tr w:rsidR="00FC5B6A" w14:paraId="419F94C2" w14:textId="77777777">
        <w:trPr>
          <w:jc w:val="center"/>
        </w:trPr>
        <w:tc>
          <w:tcPr>
            <w:tcW w:w="1800" w:type="dxa"/>
            <w:vAlign w:val="center"/>
          </w:tcPr>
          <w:p w14:paraId="6B22B3CF" w14:textId="77777777" w:rsidR="00FC5B6A" w:rsidRDefault="00000000">
            <w:pPr>
              <w:rPr>
                <w:rFonts w:hint="eastAsia"/>
              </w:rPr>
            </w:pPr>
            <w:r>
              <w:rPr>
                <w:sz w:val="17"/>
              </w:rPr>
              <w:t>Assessment</w:t>
            </w:r>
          </w:p>
        </w:tc>
        <w:tc>
          <w:tcPr>
            <w:tcW w:w="3528" w:type="dxa"/>
            <w:vAlign w:val="center"/>
          </w:tcPr>
          <w:p w14:paraId="2D590848" w14:textId="77777777" w:rsidR="00FC5B6A" w:rsidRDefault="00000000">
            <w:pPr>
              <w:rPr>
                <w:rFonts w:hint="eastAsia"/>
              </w:rPr>
            </w:pPr>
            <w:r>
              <w:rPr>
                <w:sz w:val="17"/>
              </w:rPr>
              <w:t>Is competence demonstrated?</w:t>
            </w:r>
          </w:p>
        </w:tc>
        <w:tc>
          <w:tcPr>
            <w:tcW w:w="3960" w:type="dxa"/>
            <w:vAlign w:val="center"/>
          </w:tcPr>
          <w:p w14:paraId="4B9F8434" w14:textId="77777777" w:rsidR="00FC5B6A" w:rsidRDefault="00000000">
            <w:pPr>
              <w:rPr>
                <w:rFonts w:hint="eastAsia"/>
              </w:rPr>
            </w:pPr>
            <w:r>
              <w:rPr>
                <w:sz w:val="17"/>
              </w:rPr>
              <w:t>Projects; portfolios; practical exams; capstones.</w:t>
            </w:r>
          </w:p>
        </w:tc>
      </w:tr>
      <w:tr w:rsidR="00FC5B6A" w14:paraId="07A6A5E3" w14:textId="77777777">
        <w:trPr>
          <w:jc w:val="center"/>
        </w:trPr>
        <w:tc>
          <w:tcPr>
            <w:tcW w:w="1800" w:type="dxa"/>
            <w:shd w:val="clear" w:color="auto" w:fill="F3F6FA"/>
            <w:vAlign w:val="center"/>
          </w:tcPr>
          <w:p w14:paraId="221AB676" w14:textId="77777777" w:rsidR="00FC5B6A" w:rsidRDefault="00000000">
            <w:pPr>
              <w:rPr>
                <w:rFonts w:hint="eastAsia"/>
              </w:rPr>
            </w:pPr>
            <w:r>
              <w:rPr>
                <w:sz w:val="17"/>
              </w:rPr>
              <w:t>Industry linkage</w:t>
            </w:r>
          </w:p>
        </w:tc>
        <w:tc>
          <w:tcPr>
            <w:tcW w:w="3528" w:type="dxa"/>
            <w:shd w:val="clear" w:color="auto" w:fill="F3F6FA"/>
            <w:vAlign w:val="center"/>
          </w:tcPr>
          <w:p w14:paraId="75D69A7D" w14:textId="77777777" w:rsidR="00FC5B6A" w:rsidRDefault="00000000">
            <w:pPr>
              <w:rPr>
                <w:rFonts w:hint="eastAsia"/>
              </w:rPr>
            </w:pPr>
            <w:r>
              <w:rPr>
                <w:sz w:val="17"/>
              </w:rPr>
              <w:t>Are programmes connected to demand?</w:t>
            </w:r>
          </w:p>
        </w:tc>
        <w:tc>
          <w:tcPr>
            <w:tcW w:w="3960" w:type="dxa"/>
            <w:shd w:val="clear" w:color="auto" w:fill="F3F6FA"/>
            <w:vAlign w:val="center"/>
          </w:tcPr>
          <w:p w14:paraId="44F1B482" w14:textId="77777777" w:rsidR="00FC5B6A" w:rsidRDefault="00000000">
            <w:pPr>
              <w:rPr>
                <w:rFonts w:hint="eastAsia"/>
              </w:rPr>
            </w:pPr>
            <w:r>
              <w:rPr>
                <w:sz w:val="17"/>
              </w:rPr>
              <w:t>Advisory boards; internships; employer projects; certifications.</w:t>
            </w:r>
          </w:p>
        </w:tc>
      </w:tr>
      <w:tr w:rsidR="00FC5B6A" w14:paraId="15AFDE1E" w14:textId="77777777">
        <w:trPr>
          <w:jc w:val="center"/>
        </w:trPr>
        <w:tc>
          <w:tcPr>
            <w:tcW w:w="1800" w:type="dxa"/>
            <w:vAlign w:val="center"/>
          </w:tcPr>
          <w:p w14:paraId="1F36B3F5" w14:textId="77777777" w:rsidR="00FC5B6A" w:rsidRDefault="00000000">
            <w:pPr>
              <w:rPr>
                <w:rFonts w:hint="eastAsia"/>
              </w:rPr>
            </w:pPr>
            <w:r>
              <w:rPr>
                <w:sz w:val="17"/>
              </w:rPr>
              <w:t>Inclusion</w:t>
            </w:r>
          </w:p>
        </w:tc>
        <w:tc>
          <w:tcPr>
            <w:tcW w:w="3528" w:type="dxa"/>
            <w:vAlign w:val="center"/>
          </w:tcPr>
          <w:p w14:paraId="10A28437" w14:textId="77777777" w:rsidR="00FC5B6A" w:rsidRDefault="00000000">
            <w:pPr>
              <w:rPr>
                <w:rFonts w:hint="eastAsia"/>
              </w:rPr>
            </w:pPr>
            <w:r>
              <w:rPr>
                <w:sz w:val="17"/>
              </w:rPr>
              <w:t>Can all students participate?</w:t>
            </w:r>
          </w:p>
        </w:tc>
        <w:tc>
          <w:tcPr>
            <w:tcW w:w="3960" w:type="dxa"/>
            <w:vAlign w:val="center"/>
          </w:tcPr>
          <w:p w14:paraId="45B6ED06" w14:textId="77777777" w:rsidR="00FC5B6A" w:rsidRDefault="00000000">
            <w:pPr>
              <w:rPr>
                <w:rFonts w:hint="eastAsia"/>
              </w:rPr>
            </w:pPr>
            <w:r>
              <w:rPr>
                <w:sz w:val="17"/>
              </w:rPr>
              <w:t>Device support; accessibility; low-bandwidth options; bridging modules.</w:t>
            </w:r>
          </w:p>
        </w:tc>
      </w:tr>
      <w:tr w:rsidR="00FC5B6A" w14:paraId="730EB3DE" w14:textId="77777777">
        <w:trPr>
          <w:jc w:val="center"/>
        </w:trPr>
        <w:tc>
          <w:tcPr>
            <w:tcW w:w="1800" w:type="dxa"/>
            <w:shd w:val="clear" w:color="auto" w:fill="F3F6FA"/>
            <w:vAlign w:val="center"/>
          </w:tcPr>
          <w:p w14:paraId="16E8DDB2" w14:textId="77777777" w:rsidR="00FC5B6A" w:rsidRDefault="00000000">
            <w:pPr>
              <w:rPr>
                <w:rFonts w:hint="eastAsia"/>
              </w:rPr>
            </w:pPr>
            <w:r>
              <w:rPr>
                <w:sz w:val="17"/>
              </w:rPr>
              <w:t>Outcomes &amp; data</w:t>
            </w:r>
          </w:p>
        </w:tc>
        <w:tc>
          <w:tcPr>
            <w:tcW w:w="3528" w:type="dxa"/>
            <w:shd w:val="clear" w:color="auto" w:fill="F3F6FA"/>
            <w:vAlign w:val="center"/>
          </w:tcPr>
          <w:p w14:paraId="7E8DC35C" w14:textId="77777777" w:rsidR="00FC5B6A" w:rsidRDefault="00000000">
            <w:pPr>
              <w:rPr>
                <w:rFonts w:hint="eastAsia"/>
              </w:rPr>
            </w:pPr>
            <w:r>
              <w:rPr>
                <w:sz w:val="17"/>
              </w:rPr>
              <w:t>Does the institution know what works?</w:t>
            </w:r>
          </w:p>
        </w:tc>
        <w:tc>
          <w:tcPr>
            <w:tcW w:w="3960" w:type="dxa"/>
            <w:shd w:val="clear" w:color="auto" w:fill="F3F6FA"/>
            <w:vAlign w:val="center"/>
          </w:tcPr>
          <w:p w14:paraId="1F8CAE7D" w14:textId="77777777" w:rsidR="00FC5B6A" w:rsidRDefault="00000000">
            <w:pPr>
              <w:rPr>
                <w:rFonts w:hint="eastAsia"/>
              </w:rPr>
            </w:pPr>
            <w:r>
              <w:rPr>
                <w:sz w:val="17"/>
              </w:rPr>
              <w:t>Tracer studies; competency assessments; employer feedback; completion data.</w:t>
            </w:r>
          </w:p>
        </w:tc>
      </w:tr>
    </w:tbl>
    <w:p w14:paraId="16175046" w14:textId="77777777" w:rsidR="00FC5B6A" w:rsidRDefault="00FC5B6A">
      <w:pPr>
        <w:rPr>
          <w:rFonts w:hint="eastAsia"/>
        </w:rPr>
      </w:pPr>
    </w:p>
    <w:p w14:paraId="176F5464" w14:textId="77777777" w:rsidR="00FC5B6A" w:rsidRDefault="00000000">
      <w:pPr>
        <w:pStyle w:val="Heading1"/>
      </w:pPr>
      <w:r>
        <w:t>10. Promising Practices for Scale</w:t>
      </w:r>
    </w:p>
    <w:p w14:paraId="25053455" w14:textId="77777777" w:rsidR="00FC5B6A" w:rsidRDefault="00000000">
      <w:pPr>
        <w:rPr>
          <w:rFonts w:hint="eastAsia"/>
        </w:rPr>
      </w:pPr>
      <w:r>
        <w:t>Available evidence suggests that the most promising approaches are not isolated technology purchases but institutional systems that combine training, assessment and external relevance.</w:t>
      </w:r>
    </w:p>
    <w:p w14:paraId="53B5569A" w14:textId="77777777" w:rsidR="00FC5B6A" w:rsidRDefault="00000000">
      <w:pPr>
        <w:pStyle w:val="ListBullet"/>
        <w:rPr>
          <w:rFonts w:hint="eastAsia"/>
        </w:rPr>
      </w:pPr>
      <w:r>
        <w:t>National or institutional benchmarking of digital maturity, followed by technical assistance rather than one-off diagnosis.</w:t>
      </w:r>
    </w:p>
    <w:p w14:paraId="6EC834D9" w14:textId="77777777" w:rsidR="00FC5B6A" w:rsidRDefault="00000000">
      <w:pPr>
        <w:pStyle w:val="ListBullet"/>
        <w:rPr>
          <w:rFonts w:hint="eastAsia"/>
        </w:rPr>
      </w:pPr>
      <w:r>
        <w:t>Industry advisory committees that meet regularly and influence project work, electives and certification choices.</w:t>
      </w:r>
    </w:p>
    <w:p w14:paraId="11A0600C" w14:textId="77777777" w:rsidR="00FC5B6A" w:rsidRDefault="00000000">
      <w:pPr>
        <w:pStyle w:val="ListBullet"/>
        <w:rPr>
          <w:rFonts w:hint="eastAsia"/>
        </w:rPr>
      </w:pPr>
      <w:r>
        <w:t>Stackable microcredentials that allow rapid updating while remaining connected to degree pathways.</w:t>
      </w:r>
    </w:p>
    <w:p w14:paraId="50915F89" w14:textId="77777777" w:rsidR="00FC5B6A" w:rsidRDefault="00000000">
      <w:pPr>
        <w:pStyle w:val="ListBullet"/>
        <w:rPr>
          <w:rFonts w:hint="eastAsia"/>
        </w:rPr>
      </w:pPr>
      <w:r>
        <w:t>Faculty digital fellowships, industry attachments and certification support.</w:t>
      </w:r>
    </w:p>
    <w:p w14:paraId="740AE6EE" w14:textId="77777777" w:rsidR="00FC5B6A" w:rsidRDefault="00000000">
      <w:pPr>
        <w:pStyle w:val="ListBullet"/>
        <w:rPr>
          <w:rFonts w:hint="eastAsia"/>
        </w:rPr>
      </w:pPr>
      <w:r>
        <w:t>Cross-disciplinary digital minors in data, AI, cybersecurity or digital entrepreneurship.</w:t>
      </w:r>
    </w:p>
    <w:p w14:paraId="614A2255" w14:textId="77777777" w:rsidR="00FC5B6A" w:rsidRDefault="00000000">
      <w:pPr>
        <w:pStyle w:val="ListBullet"/>
        <w:rPr>
          <w:rFonts w:hint="eastAsia"/>
        </w:rPr>
      </w:pPr>
      <w:r>
        <w:t>Student portfolios and capstone projects that demonstrate competence to employers.</w:t>
      </w:r>
    </w:p>
    <w:p w14:paraId="74140A0A" w14:textId="77777777" w:rsidR="00FC5B6A" w:rsidRDefault="00000000">
      <w:pPr>
        <w:pStyle w:val="ListBullet"/>
        <w:rPr>
          <w:rFonts w:hint="eastAsia"/>
        </w:rPr>
      </w:pPr>
      <w:r>
        <w:t>Low-bandwidth and mobile-first delivery where connectivity constraints remain material.</w:t>
      </w:r>
    </w:p>
    <w:p w14:paraId="3FD228CE" w14:textId="77777777" w:rsidR="00FC5B6A" w:rsidRDefault="00000000">
      <w:pPr>
        <w:pStyle w:val="ListBullet"/>
        <w:rPr>
          <w:rFonts w:hint="eastAsia"/>
        </w:rPr>
      </w:pPr>
      <w:r>
        <w:t>Regional sharing of open educational resources, virtual laboratories and specialist teaching capacity.</w:t>
      </w:r>
    </w:p>
    <w:p w14:paraId="7C743462" w14:textId="77777777" w:rsidR="00FC5B6A" w:rsidRDefault="00000000">
      <w:pPr>
        <w:pStyle w:val="Heading1"/>
      </w:pPr>
      <w:r>
        <w:t>11. Action Agenda 2027–2030</w:t>
      </w:r>
    </w:p>
    <w:p w14:paraId="110A93BB" w14:textId="77777777" w:rsidR="00FC5B6A" w:rsidRDefault="00000000">
      <w:pPr>
        <w:pStyle w:val="Heading2"/>
      </w:pPr>
      <w:r>
        <w:t>11.1 For higher-education institutions</w:t>
      </w:r>
    </w:p>
    <w:p w14:paraId="5DD237C9" w14:textId="77777777" w:rsidR="00FC5B6A" w:rsidRDefault="00000000">
      <w:pPr>
        <w:pStyle w:val="ListNumber"/>
        <w:rPr>
          <w:rFonts w:hint="eastAsia"/>
        </w:rPr>
      </w:pPr>
      <w:r>
        <w:t>Define a graduate digital-competence framework covering foundational skills, data literacy, cybersecurity and responsible AI.</w:t>
      </w:r>
    </w:p>
    <w:p w14:paraId="64B30577" w14:textId="77777777" w:rsidR="00FC5B6A" w:rsidRDefault="00000000">
      <w:pPr>
        <w:pStyle w:val="ListNumber"/>
        <w:rPr>
          <w:rFonts w:hint="eastAsia"/>
        </w:rPr>
      </w:pPr>
      <w:r>
        <w:t>Map every programme against the framework and identify where competencies are taught, practised and assessed.</w:t>
      </w:r>
    </w:p>
    <w:p w14:paraId="42E59234" w14:textId="77777777" w:rsidR="00FC5B6A" w:rsidRDefault="00000000">
      <w:pPr>
        <w:pStyle w:val="ListNumber"/>
        <w:rPr>
          <w:rFonts w:hint="eastAsia"/>
        </w:rPr>
      </w:pPr>
      <w:r>
        <w:t>Create bridging modules for incoming students who lack foundational competence.</w:t>
      </w:r>
    </w:p>
    <w:p w14:paraId="7C26A4E9" w14:textId="77777777" w:rsidR="00FC5B6A" w:rsidRDefault="00000000">
      <w:pPr>
        <w:pStyle w:val="ListNumber"/>
        <w:rPr>
          <w:rFonts w:hint="eastAsia"/>
        </w:rPr>
      </w:pPr>
      <w:r>
        <w:t>Introduce practical, portfolio-based assessment and require evidence of digital capability before graduation.</w:t>
      </w:r>
    </w:p>
    <w:p w14:paraId="71917E8B" w14:textId="77777777" w:rsidR="00FC5B6A" w:rsidRDefault="00000000">
      <w:pPr>
        <w:pStyle w:val="ListNumber"/>
        <w:rPr>
          <w:rFonts w:hint="eastAsia"/>
        </w:rPr>
      </w:pPr>
      <w:r>
        <w:t>Establish annual curriculum refresh mechanisms for fast-changing digital components.</w:t>
      </w:r>
    </w:p>
    <w:p w14:paraId="75B09D18" w14:textId="77777777" w:rsidR="00FC5B6A" w:rsidRDefault="00000000">
      <w:pPr>
        <w:pStyle w:val="ListNumber"/>
        <w:rPr>
          <w:rFonts w:hint="eastAsia"/>
        </w:rPr>
      </w:pPr>
      <w:r>
        <w:t>Fund continuous faculty development, including certifications and industry exposure.</w:t>
      </w:r>
    </w:p>
    <w:p w14:paraId="138792A4" w14:textId="77777777" w:rsidR="00FC5B6A" w:rsidRDefault="00000000">
      <w:pPr>
        <w:pStyle w:val="ListNumber"/>
        <w:rPr>
          <w:rFonts w:hint="eastAsia"/>
        </w:rPr>
      </w:pPr>
      <w:r>
        <w:t>Build employer advisory structures and expand work-integrated learning.</w:t>
      </w:r>
    </w:p>
    <w:p w14:paraId="531146DD" w14:textId="77777777" w:rsidR="00FC5B6A" w:rsidRDefault="00000000">
      <w:pPr>
        <w:pStyle w:val="ListNumber"/>
        <w:rPr>
          <w:rFonts w:hint="eastAsia"/>
        </w:rPr>
      </w:pPr>
      <w:r>
        <w:t>Publish a small annual digital-readiness dashboard covering access, participation, competency and graduate outcomes.</w:t>
      </w:r>
    </w:p>
    <w:p w14:paraId="58D86958" w14:textId="77777777" w:rsidR="00FC5B6A" w:rsidRDefault="00000000">
      <w:pPr>
        <w:pStyle w:val="Heading2"/>
      </w:pPr>
      <w:r>
        <w:t>11.2 For governments, regulators and quality-assurance agencies</w:t>
      </w:r>
    </w:p>
    <w:p w14:paraId="014E45BD" w14:textId="77777777" w:rsidR="00FC5B6A" w:rsidRDefault="00000000">
      <w:pPr>
        <w:pStyle w:val="ListNumber"/>
        <w:rPr>
          <w:rFonts w:hint="eastAsia"/>
        </w:rPr>
      </w:pPr>
      <w:r>
        <w:t>Adopt interoperable regional or national digital-competence standards while allowing disciplinary adaptation.</w:t>
      </w:r>
    </w:p>
    <w:p w14:paraId="32D6254C" w14:textId="77777777" w:rsidR="00FC5B6A" w:rsidRDefault="00000000">
      <w:pPr>
        <w:pStyle w:val="ListNumber"/>
        <w:rPr>
          <w:rFonts w:hint="eastAsia"/>
        </w:rPr>
      </w:pPr>
      <w:r>
        <w:t>Include demonstrable digital outcomes in programme accreditation and quality assurance.</w:t>
      </w:r>
    </w:p>
    <w:p w14:paraId="5C61B2F2" w14:textId="77777777" w:rsidR="00FC5B6A" w:rsidRDefault="00000000">
      <w:pPr>
        <w:pStyle w:val="ListNumber"/>
        <w:rPr>
          <w:rFonts w:hint="eastAsia"/>
        </w:rPr>
      </w:pPr>
      <w:r>
        <w:t>Support shared infrastructure, research-and-education networks, cloud services and virtual laboratories.</w:t>
      </w:r>
    </w:p>
    <w:p w14:paraId="2B1AC731" w14:textId="77777777" w:rsidR="00FC5B6A" w:rsidRDefault="00000000">
      <w:pPr>
        <w:pStyle w:val="ListNumber"/>
        <w:rPr>
          <w:rFonts w:hint="eastAsia"/>
        </w:rPr>
      </w:pPr>
      <w:r>
        <w:t>Create funding incentives for inclusion, faculty development and industry-linked digital programmes.</w:t>
      </w:r>
    </w:p>
    <w:p w14:paraId="3D5879B8" w14:textId="77777777" w:rsidR="00FC5B6A" w:rsidRDefault="00000000">
      <w:pPr>
        <w:pStyle w:val="ListNumber"/>
        <w:rPr>
          <w:rFonts w:hint="eastAsia"/>
        </w:rPr>
      </w:pPr>
      <w:r>
        <w:t>Develop comparable data systems for tertiary digital-skills outcomes and graduate destinations.</w:t>
      </w:r>
    </w:p>
    <w:p w14:paraId="0642564C" w14:textId="77777777" w:rsidR="00FC5B6A" w:rsidRDefault="00000000">
      <w:pPr>
        <w:pStyle w:val="ListNumber"/>
        <w:rPr>
          <w:rFonts w:hint="eastAsia"/>
        </w:rPr>
      </w:pPr>
      <w:r>
        <w:t>Support mutual recognition of credible microcredentials and short-form digital learning.</w:t>
      </w:r>
    </w:p>
    <w:p w14:paraId="39F55BE7" w14:textId="77777777" w:rsidR="00FC5B6A" w:rsidRDefault="00000000">
      <w:pPr>
        <w:pStyle w:val="Heading2"/>
      </w:pPr>
      <w:r>
        <w:t>11.3 For industry and technology partners</w:t>
      </w:r>
    </w:p>
    <w:p w14:paraId="14D392E6" w14:textId="77777777" w:rsidR="00FC5B6A" w:rsidRDefault="00000000">
      <w:pPr>
        <w:pStyle w:val="ListNumber"/>
        <w:rPr>
          <w:rFonts w:hint="eastAsia"/>
        </w:rPr>
      </w:pPr>
      <w:r>
        <w:t>Co-design project briefs and competency standards rather than limiting engagement to donations.</w:t>
      </w:r>
    </w:p>
    <w:p w14:paraId="13B73D33" w14:textId="77777777" w:rsidR="00FC5B6A" w:rsidRDefault="00000000">
      <w:pPr>
        <w:pStyle w:val="ListNumber"/>
        <w:rPr>
          <w:rFonts w:hint="eastAsia"/>
        </w:rPr>
      </w:pPr>
      <w:r>
        <w:t>Provide internships, mentors, cloud credits, datasets, sandbox environments and certification pathways.</w:t>
      </w:r>
    </w:p>
    <w:p w14:paraId="77B3977A" w14:textId="77777777" w:rsidR="00FC5B6A" w:rsidRDefault="00000000">
      <w:pPr>
        <w:pStyle w:val="ListNumber"/>
        <w:rPr>
          <w:rFonts w:hint="eastAsia"/>
        </w:rPr>
      </w:pPr>
      <w:r>
        <w:t>Help universities train faculty as well as students.</w:t>
      </w:r>
    </w:p>
    <w:p w14:paraId="3FC72E3D" w14:textId="77777777" w:rsidR="00FC5B6A" w:rsidRDefault="00000000">
      <w:pPr>
        <w:pStyle w:val="ListNumber"/>
        <w:rPr>
          <w:rFonts w:hint="eastAsia"/>
        </w:rPr>
      </w:pPr>
      <w:r>
        <w:t>Share anonymised skills-demand signals to support curriculum decisions.</w:t>
      </w:r>
    </w:p>
    <w:p w14:paraId="5745AB02" w14:textId="77777777" w:rsidR="00FC5B6A" w:rsidRDefault="00000000">
      <w:pPr>
        <w:pStyle w:val="Heading2"/>
      </w:pPr>
      <w:r>
        <w:t>11.4 For regional bodies and development partners</w:t>
      </w:r>
    </w:p>
    <w:p w14:paraId="26BE4531" w14:textId="77777777" w:rsidR="00FC5B6A" w:rsidRDefault="00000000">
      <w:pPr>
        <w:pStyle w:val="ListNumber"/>
        <w:rPr>
          <w:rFonts w:hint="eastAsia"/>
        </w:rPr>
      </w:pPr>
      <w:r>
        <w:t>Develop a West African higher-education digital-skills observatory or comparable evidence platform.</w:t>
      </w:r>
    </w:p>
    <w:p w14:paraId="6C713DFE" w14:textId="77777777" w:rsidR="00FC5B6A" w:rsidRDefault="00000000">
      <w:pPr>
        <w:pStyle w:val="ListNumber"/>
        <w:rPr>
          <w:rFonts w:hint="eastAsia"/>
        </w:rPr>
      </w:pPr>
      <w:r>
        <w:t>Support multilingual open resources in English, French and Portuguese.</w:t>
      </w:r>
    </w:p>
    <w:p w14:paraId="4F642744" w14:textId="77777777" w:rsidR="00FC5B6A" w:rsidRDefault="00000000">
      <w:pPr>
        <w:pStyle w:val="ListNumber"/>
        <w:rPr>
          <w:rFonts w:hint="eastAsia"/>
        </w:rPr>
      </w:pPr>
      <w:r>
        <w:t>Fund regional faculty networks and centres of excellence in AI, data, cloud and cybersecurity.</w:t>
      </w:r>
    </w:p>
    <w:p w14:paraId="50434E6B" w14:textId="77777777" w:rsidR="00FC5B6A" w:rsidRDefault="00000000">
      <w:pPr>
        <w:pStyle w:val="ListNumber"/>
        <w:rPr>
          <w:rFonts w:hint="eastAsia"/>
        </w:rPr>
      </w:pPr>
      <w:r>
        <w:t>Prioritise rigorous evaluation of training outcomes, not only participant counts.</w:t>
      </w:r>
    </w:p>
    <w:p w14:paraId="41243C3B" w14:textId="77777777" w:rsidR="00FC5B6A" w:rsidRDefault="00000000">
      <w:pPr>
        <w:pStyle w:val="ListNumber"/>
        <w:rPr>
          <w:rFonts w:hint="eastAsia"/>
        </w:rPr>
      </w:pPr>
      <w:r>
        <w:t>Facilitate regional mobility, recognition and shared delivery of specialist digital courses.</w:t>
      </w:r>
    </w:p>
    <w:p w14:paraId="262789B6" w14:textId="77777777" w:rsidR="00FC5B6A" w:rsidRDefault="00000000">
      <w:pPr>
        <w:pStyle w:val="Heading1"/>
      </w:pPr>
      <w:r>
        <w:t>12. Proposed Institutional Scorecard</w:t>
      </w:r>
    </w:p>
    <w:p w14:paraId="55DAE2A2" w14:textId="77777777" w:rsidR="00FC5B6A" w:rsidRDefault="00000000">
      <w:pPr>
        <w:rPr>
          <w:rFonts w:hint="eastAsia"/>
        </w:rPr>
      </w:pPr>
      <w:r>
        <w:t>The following scorecard is intended for self-assessment and improvement, not for public ranking. Institutions can rate each item using evidence and set annual improvement targets.</w:t>
      </w:r>
    </w:p>
    <w:tbl>
      <w:tblPr>
        <w:tblStyle w:val="TableGrid"/>
        <w:tblW w:w="0" w:type="auto"/>
        <w:jc w:val="center"/>
        <w:tblLook w:val="04A0" w:firstRow="1" w:lastRow="0" w:firstColumn="1" w:lastColumn="0" w:noHBand="0" w:noVBand="1"/>
      </w:tblPr>
      <w:tblGrid>
        <w:gridCol w:w="2016"/>
        <w:gridCol w:w="3744"/>
        <w:gridCol w:w="3600"/>
      </w:tblGrid>
      <w:tr w:rsidR="00FC5B6A" w14:paraId="0DCDB948" w14:textId="77777777">
        <w:trPr>
          <w:jc w:val="center"/>
        </w:trPr>
        <w:tc>
          <w:tcPr>
            <w:tcW w:w="2016" w:type="dxa"/>
            <w:shd w:val="clear" w:color="auto" w:fill="17365D"/>
            <w:vAlign w:val="center"/>
          </w:tcPr>
          <w:p w14:paraId="493540AF" w14:textId="77777777" w:rsidR="00FC5B6A" w:rsidRDefault="00000000">
            <w:pPr>
              <w:rPr>
                <w:rFonts w:hint="eastAsia"/>
              </w:rPr>
            </w:pPr>
            <w:r>
              <w:rPr>
                <w:b/>
                <w:color w:val="FFFFFF"/>
                <w:sz w:val="18"/>
              </w:rPr>
              <w:t>Domain</w:t>
            </w:r>
          </w:p>
        </w:tc>
        <w:tc>
          <w:tcPr>
            <w:tcW w:w="3744" w:type="dxa"/>
            <w:shd w:val="clear" w:color="auto" w:fill="17365D"/>
            <w:vAlign w:val="center"/>
          </w:tcPr>
          <w:p w14:paraId="1AFF5FA1" w14:textId="77777777" w:rsidR="00FC5B6A" w:rsidRDefault="00000000">
            <w:pPr>
              <w:rPr>
                <w:rFonts w:hint="eastAsia"/>
              </w:rPr>
            </w:pPr>
            <w:r>
              <w:rPr>
                <w:b/>
                <w:color w:val="FFFFFF"/>
                <w:sz w:val="18"/>
              </w:rPr>
              <w:t>Minimum evidence of progress</w:t>
            </w:r>
          </w:p>
        </w:tc>
        <w:tc>
          <w:tcPr>
            <w:tcW w:w="3600" w:type="dxa"/>
            <w:shd w:val="clear" w:color="auto" w:fill="17365D"/>
            <w:vAlign w:val="center"/>
          </w:tcPr>
          <w:p w14:paraId="52046619" w14:textId="77777777" w:rsidR="00FC5B6A" w:rsidRDefault="00000000">
            <w:pPr>
              <w:rPr>
                <w:rFonts w:hint="eastAsia"/>
              </w:rPr>
            </w:pPr>
            <w:r>
              <w:rPr>
                <w:b/>
                <w:color w:val="FFFFFF"/>
                <w:sz w:val="18"/>
              </w:rPr>
              <w:t>Mature practice</w:t>
            </w:r>
          </w:p>
        </w:tc>
      </w:tr>
      <w:tr w:rsidR="00FC5B6A" w14:paraId="6ED0A6C5" w14:textId="77777777">
        <w:trPr>
          <w:jc w:val="center"/>
        </w:trPr>
        <w:tc>
          <w:tcPr>
            <w:tcW w:w="2016" w:type="dxa"/>
            <w:vAlign w:val="center"/>
          </w:tcPr>
          <w:p w14:paraId="2849BDB9" w14:textId="77777777" w:rsidR="00FC5B6A" w:rsidRDefault="00000000">
            <w:pPr>
              <w:rPr>
                <w:rFonts w:hint="eastAsia"/>
              </w:rPr>
            </w:pPr>
            <w:r>
              <w:rPr>
                <w:sz w:val="17"/>
              </w:rPr>
              <w:t>Graduate baseline</w:t>
            </w:r>
          </w:p>
        </w:tc>
        <w:tc>
          <w:tcPr>
            <w:tcW w:w="3744" w:type="dxa"/>
            <w:vAlign w:val="center"/>
          </w:tcPr>
          <w:p w14:paraId="30002F62" w14:textId="77777777" w:rsidR="00FC5B6A" w:rsidRDefault="00000000">
            <w:pPr>
              <w:rPr>
                <w:rFonts w:hint="eastAsia"/>
              </w:rPr>
            </w:pPr>
            <w:r>
              <w:rPr>
                <w:sz w:val="17"/>
              </w:rPr>
              <w:t>Common digital-literacy outcomes defined.</w:t>
            </w:r>
          </w:p>
        </w:tc>
        <w:tc>
          <w:tcPr>
            <w:tcW w:w="3600" w:type="dxa"/>
            <w:vAlign w:val="center"/>
          </w:tcPr>
          <w:p w14:paraId="12269FE4" w14:textId="77777777" w:rsidR="00FC5B6A" w:rsidRDefault="00000000">
            <w:pPr>
              <w:rPr>
                <w:rFonts w:hint="eastAsia"/>
              </w:rPr>
            </w:pPr>
            <w:r>
              <w:rPr>
                <w:sz w:val="17"/>
              </w:rPr>
              <w:t>Competency tested across all programmes.</w:t>
            </w:r>
          </w:p>
        </w:tc>
      </w:tr>
      <w:tr w:rsidR="00FC5B6A" w14:paraId="7C723534" w14:textId="77777777">
        <w:trPr>
          <w:jc w:val="center"/>
        </w:trPr>
        <w:tc>
          <w:tcPr>
            <w:tcW w:w="2016" w:type="dxa"/>
            <w:shd w:val="clear" w:color="auto" w:fill="F3F6FA"/>
            <w:vAlign w:val="center"/>
          </w:tcPr>
          <w:p w14:paraId="559AD591" w14:textId="77777777" w:rsidR="00FC5B6A" w:rsidRDefault="00000000">
            <w:pPr>
              <w:rPr>
                <w:rFonts w:hint="eastAsia"/>
              </w:rPr>
            </w:pPr>
            <w:r>
              <w:rPr>
                <w:sz w:val="17"/>
              </w:rPr>
              <w:t>Advanced pathways</w:t>
            </w:r>
          </w:p>
        </w:tc>
        <w:tc>
          <w:tcPr>
            <w:tcW w:w="3744" w:type="dxa"/>
            <w:shd w:val="clear" w:color="auto" w:fill="F3F6FA"/>
            <w:vAlign w:val="center"/>
          </w:tcPr>
          <w:p w14:paraId="2FFFFB36" w14:textId="77777777" w:rsidR="00FC5B6A" w:rsidRDefault="00000000">
            <w:pPr>
              <w:rPr>
                <w:rFonts w:hint="eastAsia"/>
              </w:rPr>
            </w:pPr>
            <w:r>
              <w:rPr>
                <w:sz w:val="17"/>
              </w:rPr>
              <w:t>Some specialist electives available.</w:t>
            </w:r>
          </w:p>
        </w:tc>
        <w:tc>
          <w:tcPr>
            <w:tcW w:w="3600" w:type="dxa"/>
            <w:shd w:val="clear" w:color="auto" w:fill="F3F6FA"/>
            <w:vAlign w:val="center"/>
          </w:tcPr>
          <w:p w14:paraId="0A5510CD" w14:textId="77777777" w:rsidR="00FC5B6A" w:rsidRDefault="00000000">
            <w:pPr>
              <w:rPr>
                <w:rFonts w:hint="eastAsia"/>
              </w:rPr>
            </w:pPr>
            <w:r>
              <w:rPr>
                <w:sz w:val="17"/>
              </w:rPr>
              <w:t>Stackable minors/microcredentials linked to industry.</w:t>
            </w:r>
          </w:p>
        </w:tc>
      </w:tr>
      <w:tr w:rsidR="00FC5B6A" w14:paraId="1B0A4DE1" w14:textId="77777777">
        <w:trPr>
          <w:jc w:val="center"/>
        </w:trPr>
        <w:tc>
          <w:tcPr>
            <w:tcW w:w="2016" w:type="dxa"/>
            <w:vAlign w:val="center"/>
          </w:tcPr>
          <w:p w14:paraId="446FF697" w14:textId="77777777" w:rsidR="00FC5B6A" w:rsidRDefault="00000000">
            <w:pPr>
              <w:rPr>
                <w:rFonts w:hint="eastAsia"/>
              </w:rPr>
            </w:pPr>
            <w:r>
              <w:rPr>
                <w:sz w:val="17"/>
              </w:rPr>
              <w:t>AI literacy</w:t>
            </w:r>
          </w:p>
        </w:tc>
        <w:tc>
          <w:tcPr>
            <w:tcW w:w="3744" w:type="dxa"/>
            <w:vAlign w:val="center"/>
          </w:tcPr>
          <w:p w14:paraId="1653CB83" w14:textId="77777777" w:rsidR="00FC5B6A" w:rsidRDefault="00000000">
            <w:pPr>
              <w:rPr>
                <w:rFonts w:hint="eastAsia"/>
              </w:rPr>
            </w:pPr>
            <w:r>
              <w:rPr>
                <w:sz w:val="17"/>
              </w:rPr>
              <w:t>Guidance on acceptable use.</w:t>
            </w:r>
          </w:p>
        </w:tc>
        <w:tc>
          <w:tcPr>
            <w:tcW w:w="3600" w:type="dxa"/>
            <w:vAlign w:val="center"/>
          </w:tcPr>
          <w:p w14:paraId="27B30D19" w14:textId="77777777" w:rsidR="00FC5B6A" w:rsidRDefault="00000000">
            <w:pPr>
              <w:rPr>
                <w:rFonts w:hint="eastAsia"/>
              </w:rPr>
            </w:pPr>
            <w:r>
              <w:rPr>
                <w:sz w:val="17"/>
              </w:rPr>
              <w:t>Assessed AI literacy plus discipline-specific practice.</w:t>
            </w:r>
          </w:p>
        </w:tc>
      </w:tr>
      <w:tr w:rsidR="00FC5B6A" w14:paraId="484C9650" w14:textId="77777777">
        <w:trPr>
          <w:jc w:val="center"/>
        </w:trPr>
        <w:tc>
          <w:tcPr>
            <w:tcW w:w="2016" w:type="dxa"/>
            <w:shd w:val="clear" w:color="auto" w:fill="F3F6FA"/>
            <w:vAlign w:val="center"/>
          </w:tcPr>
          <w:p w14:paraId="755A6363" w14:textId="77777777" w:rsidR="00FC5B6A" w:rsidRDefault="00000000">
            <w:pPr>
              <w:rPr>
                <w:rFonts w:hint="eastAsia"/>
              </w:rPr>
            </w:pPr>
            <w:r>
              <w:rPr>
                <w:sz w:val="17"/>
              </w:rPr>
              <w:t>Faculty CPD</w:t>
            </w:r>
          </w:p>
        </w:tc>
        <w:tc>
          <w:tcPr>
            <w:tcW w:w="3744" w:type="dxa"/>
            <w:shd w:val="clear" w:color="auto" w:fill="F3F6FA"/>
            <w:vAlign w:val="center"/>
          </w:tcPr>
          <w:p w14:paraId="27A3C514" w14:textId="77777777" w:rsidR="00FC5B6A" w:rsidRDefault="00000000">
            <w:pPr>
              <w:rPr>
                <w:rFonts w:hint="eastAsia"/>
              </w:rPr>
            </w:pPr>
            <w:r>
              <w:rPr>
                <w:sz w:val="17"/>
              </w:rPr>
              <w:t>Occasional workshops.</w:t>
            </w:r>
          </w:p>
        </w:tc>
        <w:tc>
          <w:tcPr>
            <w:tcW w:w="3600" w:type="dxa"/>
            <w:shd w:val="clear" w:color="auto" w:fill="F3F6FA"/>
            <w:vAlign w:val="center"/>
          </w:tcPr>
          <w:p w14:paraId="50CC4A56" w14:textId="77777777" w:rsidR="00FC5B6A" w:rsidRDefault="00000000">
            <w:pPr>
              <w:rPr>
                <w:rFonts w:hint="eastAsia"/>
              </w:rPr>
            </w:pPr>
            <w:r>
              <w:rPr>
                <w:sz w:val="17"/>
              </w:rPr>
              <w:t>Annual CPD pathway with certification/industry exposure.</w:t>
            </w:r>
          </w:p>
        </w:tc>
      </w:tr>
      <w:tr w:rsidR="00FC5B6A" w14:paraId="588133AB" w14:textId="77777777">
        <w:trPr>
          <w:jc w:val="center"/>
        </w:trPr>
        <w:tc>
          <w:tcPr>
            <w:tcW w:w="2016" w:type="dxa"/>
            <w:vAlign w:val="center"/>
          </w:tcPr>
          <w:p w14:paraId="3D2F696F" w14:textId="77777777" w:rsidR="00FC5B6A" w:rsidRDefault="00000000">
            <w:pPr>
              <w:rPr>
                <w:rFonts w:hint="eastAsia"/>
              </w:rPr>
            </w:pPr>
            <w:r>
              <w:rPr>
                <w:sz w:val="17"/>
              </w:rPr>
              <w:t>Infrastructure</w:t>
            </w:r>
          </w:p>
        </w:tc>
        <w:tc>
          <w:tcPr>
            <w:tcW w:w="3744" w:type="dxa"/>
            <w:vAlign w:val="center"/>
          </w:tcPr>
          <w:p w14:paraId="5EEC9027" w14:textId="77777777" w:rsidR="00FC5B6A" w:rsidRDefault="00000000">
            <w:pPr>
              <w:rPr>
                <w:rFonts w:hint="eastAsia"/>
              </w:rPr>
            </w:pPr>
            <w:r>
              <w:rPr>
                <w:sz w:val="17"/>
              </w:rPr>
              <w:t>Computer labs and campus connectivity.</w:t>
            </w:r>
          </w:p>
        </w:tc>
        <w:tc>
          <w:tcPr>
            <w:tcW w:w="3600" w:type="dxa"/>
            <w:vAlign w:val="center"/>
          </w:tcPr>
          <w:p w14:paraId="3463174A" w14:textId="77777777" w:rsidR="00FC5B6A" w:rsidRDefault="00000000">
            <w:pPr>
              <w:rPr>
                <w:rFonts w:hint="eastAsia"/>
              </w:rPr>
            </w:pPr>
            <w:r>
              <w:rPr>
                <w:sz w:val="17"/>
              </w:rPr>
              <w:t>Reliable hybrid access, cloud/virtual labs and device support.</w:t>
            </w:r>
          </w:p>
        </w:tc>
      </w:tr>
      <w:tr w:rsidR="00FC5B6A" w14:paraId="434C8249" w14:textId="77777777">
        <w:trPr>
          <w:jc w:val="center"/>
        </w:trPr>
        <w:tc>
          <w:tcPr>
            <w:tcW w:w="2016" w:type="dxa"/>
            <w:shd w:val="clear" w:color="auto" w:fill="F3F6FA"/>
            <w:vAlign w:val="center"/>
          </w:tcPr>
          <w:p w14:paraId="6FA81364" w14:textId="77777777" w:rsidR="00FC5B6A" w:rsidRDefault="00000000">
            <w:pPr>
              <w:rPr>
                <w:rFonts w:hint="eastAsia"/>
              </w:rPr>
            </w:pPr>
            <w:r>
              <w:rPr>
                <w:sz w:val="17"/>
              </w:rPr>
              <w:t>Assessment</w:t>
            </w:r>
          </w:p>
        </w:tc>
        <w:tc>
          <w:tcPr>
            <w:tcW w:w="3744" w:type="dxa"/>
            <w:shd w:val="clear" w:color="auto" w:fill="F3F6FA"/>
            <w:vAlign w:val="center"/>
          </w:tcPr>
          <w:p w14:paraId="1DFCCF3A" w14:textId="77777777" w:rsidR="00FC5B6A" w:rsidRDefault="00000000">
            <w:pPr>
              <w:rPr>
                <w:rFonts w:hint="eastAsia"/>
              </w:rPr>
            </w:pPr>
            <w:r>
              <w:rPr>
                <w:sz w:val="17"/>
              </w:rPr>
              <w:t>Some practical coursework.</w:t>
            </w:r>
          </w:p>
        </w:tc>
        <w:tc>
          <w:tcPr>
            <w:tcW w:w="3600" w:type="dxa"/>
            <w:shd w:val="clear" w:color="auto" w:fill="F3F6FA"/>
            <w:vAlign w:val="center"/>
          </w:tcPr>
          <w:p w14:paraId="06A6AD21" w14:textId="77777777" w:rsidR="00FC5B6A" w:rsidRDefault="00000000">
            <w:pPr>
              <w:rPr>
                <w:rFonts w:hint="eastAsia"/>
              </w:rPr>
            </w:pPr>
            <w:r>
              <w:rPr>
                <w:sz w:val="17"/>
              </w:rPr>
              <w:t>Portfolio/capstone evidence embedded across programmes.</w:t>
            </w:r>
          </w:p>
        </w:tc>
      </w:tr>
      <w:tr w:rsidR="00FC5B6A" w14:paraId="5D1456AB" w14:textId="77777777">
        <w:trPr>
          <w:jc w:val="center"/>
        </w:trPr>
        <w:tc>
          <w:tcPr>
            <w:tcW w:w="2016" w:type="dxa"/>
            <w:vAlign w:val="center"/>
          </w:tcPr>
          <w:p w14:paraId="692F064E" w14:textId="77777777" w:rsidR="00FC5B6A" w:rsidRDefault="00000000">
            <w:pPr>
              <w:rPr>
                <w:rFonts w:hint="eastAsia"/>
              </w:rPr>
            </w:pPr>
            <w:r>
              <w:rPr>
                <w:sz w:val="17"/>
              </w:rPr>
              <w:t>Industry</w:t>
            </w:r>
          </w:p>
        </w:tc>
        <w:tc>
          <w:tcPr>
            <w:tcW w:w="3744" w:type="dxa"/>
            <w:vAlign w:val="center"/>
          </w:tcPr>
          <w:p w14:paraId="4C11CBBB" w14:textId="77777777" w:rsidR="00FC5B6A" w:rsidRDefault="00000000">
            <w:pPr>
              <w:rPr>
                <w:rFonts w:hint="eastAsia"/>
              </w:rPr>
            </w:pPr>
            <w:r>
              <w:rPr>
                <w:sz w:val="17"/>
              </w:rPr>
              <w:t>Ad hoc partnerships.</w:t>
            </w:r>
          </w:p>
        </w:tc>
        <w:tc>
          <w:tcPr>
            <w:tcW w:w="3600" w:type="dxa"/>
            <w:vAlign w:val="center"/>
          </w:tcPr>
          <w:p w14:paraId="61C1A644" w14:textId="77777777" w:rsidR="00FC5B6A" w:rsidRDefault="00000000">
            <w:pPr>
              <w:rPr>
                <w:rFonts w:hint="eastAsia"/>
              </w:rPr>
            </w:pPr>
            <w:r>
              <w:rPr>
                <w:sz w:val="17"/>
              </w:rPr>
              <w:t>Active advisory boards, internships and co-designed projects.</w:t>
            </w:r>
          </w:p>
        </w:tc>
      </w:tr>
      <w:tr w:rsidR="00FC5B6A" w14:paraId="06BB7D08" w14:textId="77777777">
        <w:trPr>
          <w:jc w:val="center"/>
        </w:trPr>
        <w:tc>
          <w:tcPr>
            <w:tcW w:w="2016" w:type="dxa"/>
            <w:shd w:val="clear" w:color="auto" w:fill="F3F6FA"/>
            <w:vAlign w:val="center"/>
          </w:tcPr>
          <w:p w14:paraId="704DC166" w14:textId="77777777" w:rsidR="00FC5B6A" w:rsidRDefault="00000000">
            <w:pPr>
              <w:rPr>
                <w:rFonts w:hint="eastAsia"/>
              </w:rPr>
            </w:pPr>
            <w:r>
              <w:rPr>
                <w:sz w:val="17"/>
              </w:rPr>
              <w:t>Inclusion</w:t>
            </w:r>
          </w:p>
        </w:tc>
        <w:tc>
          <w:tcPr>
            <w:tcW w:w="3744" w:type="dxa"/>
            <w:shd w:val="clear" w:color="auto" w:fill="F3F6FA"/>
            <w:vAlign w:val="center"/>
          </w:tcPr>
          <w:p w14:paraId="720159BE" w14:textId="77777777" w:rsidR="00FC5B6A" w:rsidRDefault="00000000">
            <w:pPr>
              <w:rPr>
                <w:rFonts w:hint="eastAsia"/>
              </w:rPr>
            </w:pPr>
            <w:r>
              <w:rPr>
                <w:sz w:val="17"/>
              </w:rPr>
              <w:t>General student support.</w:t>
            </w:r>
          </w:p>
        </w:tc>
        <w:tc>
          <w:tcPr>
            <w:tcW w:w="3600" w:type="dxa"/>
            <w:shd w:val="clear" w:color="auto" w:fill="F3F6FA"/>
            <w:vAlign w:val="center"/>
          </w:tcPr>
          <w:p w14:paraId="38DCB93F" w14:textId="77777777" w:rsidR="00FC5B6A" w:rsidRDefault="00000000">
            <w:pPr>
              <w:rPr>
                <w:rFonts w:hint="eastAsia"/>
              </w:rPr>
            </w:pPr>
            <w:r>
              <w:rPr>
                <w:sz w:val="17"/>
              </w:rPr>
              <w:t>Targeted access, accessibility and bridging interventions.</w:t>
            </w:r>
          </w:p>
        </w:tc>
      </w:tr>
      <w:tr w:rsidR="00FC5B6A" w14:paraId="656D2243" w14:textId="77777777">
        <w:trPr>
          <w:jc w:val="center"/>
        </w:trPr>
        <w:tc>
          <w:tcPr>
            <w:tcW w:w="2016" w:type="dxa"/>
            <w:vAlign w:val="center"/>
          </w:tcPr>
          <w:p w14:paraId="61B858E5" w14:textId="77777777" w:rsidR="00FC5B6A" w:rsidRDefault="00000000">
            <w:pPr>
              <w:rPr>
                <w:rFonts w:hint="eastAsia"/>
              </w:rPr>
            </w:pPr>
            <w:r>
              <w:rPr>
                <w:sz w:val="17"/>
              </w:rPr>
              <w:t>Data</w:t>
            </w:r>
          </w:p>
        </w:tc>
        <w:tc>
          <w:tcPr>
            <w:tcW w:w="3744" w:type="dxa"/>
            <w:vAlign w:val="center"/>
          </w:tcPr>
          <w:p w14:paraId="783743D9" w14:textId="77777777" w:rsidR="00FC5B6A" w:rsidRDefault="00000000">
            <w:pPr>
              <w:rPr>
                <w:rFonts w:hint="eastAsia"/>
              </w:rPr>
            </w:pPr>
            <w:r>
              <w:rPr>
                <w:sz w:val="17"/>
              </w:rPr>
              <w:t>Participation tracked.</w:t>
            </w:r>
          </w:p>
        </w:tc>
        <w:tc>
          <w:tcPr>
            <w:tcW w:w="3600" w:type="dxa"/>
            <w:vAlign w:val="center"/>
          </w:tcPr>
          <w:p w14:paraId="7B32C2EE" w14:textId="77777777" w:rsidR="00FC5B6A" w:rsidRDefault="00000000">
            <w:pPr>
              <w:rPr>
                <w:rFonts w:hint="eastAsia"/>
              </w:rPr>
            </w:pPr>
            <w:r>
              <w:rPr>
                <w:sz w:val="17"/>
              </w:rPr>
              <w:t>Competency, tracer and employer-outcome data inform decisions.</w:t>
            </w:r>
          </w:p>
        </w:tc>
      </w:tr>
    </w:tbl>
    <w:p w14:paraId="26C863A5" w14:textId="77777777" w:rsidR="00FC5B6A" w:rsidRDefault="00FC5B6A">
      <w:pPr>
        <w:rPr>
          <w:rFonts w:hint="eastAsia"/>
        </w:rPr>
      </w:pPr>
    </w:p>
    <w:p w14:paraId="70A37BB8" w14:textId="77777777" w:rsidR="00FC5B6A" w:rsidRDefault="00000000">
      <w:pPr>
        <w:pStyle w:val="Heading1"/>
      </w:pPr>
      <w:r>
        <w:t>13. Implementation Roadmap</w:t>
      </w:r>
    </w:p>
    <w:tbl>
      <w:tblPr>
        <w:tblStyle w:val="TableGrid"/>
        <w:tblW w:w="0" w:type="auto"/>
        <w:jc w:val="center"/>
        <w:tblLook w:val="04A0" w:firstRow="1" w:lastRow="0" w:firstColumn="1" w:lastColumn="0" w:noHBand="0" w:noVBand="1"/>
      </w:tblPr>
      <w:tblGrid>
        <w:gridCol w:w="1944"/>
        <w:gridCol w:w="1944"/>
        <w:gridCol w:w="5472"/>
      </w:tblGrid>
      <w:tr w:rsidR="00FC5B6A" w14:paraId="19AC64B4" w14:textId="77777777">
        <w:trPr>
          <w:jc w:val="center"/>
        </w:trPr>
        <w:tc>
          <w:tcPr>
            <w:tcW w:w="1944" w:type="dxa"/>
            <w:shd w:val="clear" w:color="auto" w:fill="17365D"/>
            <w:vAlign w:val="center"/>
          </w:tcPr>
          <w:p w14:paraId="4ACE2652" w14:textId="77777777" w:rsidR="00FC5B6A" w:rsidRDefault="00000000">
            <w:pPr>
              <w:rPr>
                <w:rFonts w:hint="eastAsia"/>
              </w:rPr>
            </w:pPr>
            <w:r>
              <w:rPr>
                <w:b/>
                <w:color w:val="FFFFFF"/>
                <w:sz w:val="18"/>
              </w:rPr>
              <w:t>Phase</w:t>
            </w:r>
          </w:p>
        </w:tc>
        <w:tc>
          <w:tcPr>
            <w:tcW w:w="1944" w:type="dxa"/>
            <w:shd w:val="clear" w:color="auto" w:fill="17365D"/>
            <w:vAlign w:val="center"/>
          </w:tcPr>
          <w:p w14:paraId="61A107F4" w14:textId="77777777" w:rsidR="00FC5B6A" w:rsidRDefault="00000000">
            <w:pPr>
              <w:rPr>
                <w:rFonts w:hint="eastAsia"/>
              </w:rPr>
            </w:pPr>
            <w:r>
              <w:rPr>
                <w:b/>
                <w:color w:val="FFFFFF"/>
                <w:sz w:val="18"/>
              </w:rPr>
              <w:t>Time horizon</w:t>
            </w:r>
          </w:p>
        </w:tc>
        <w:tc>
          <w:tcPr>
            <w:tcW w:w="5472" w:type="dxa"/>
            <w:shd w:val="clear" w:color="auto" w:fill="17365D"/>
            <w:vAlign w:val="center"/>
          </w:tcPr>
          <w:p w14:paraId="79BB189E" w14:textId="77777777" w:rsidR="00FC5B6A" w:rsidRDefault="00000000">
            <w:pPr>
              <w:rPr>
                <w:rFonts w:hint="eastAsia"/>
              </w:rPr>
            </w:pPr>
            <w:r>
              <w:rPr>
                <w:b/>
                <w:color w:val="FFFFFF"/>
                <w:sz w:val="18"/>
              </w:rPr>
              <w:t>Priority actions</w:t>
            </w:r>
          </w:p>
        </w:tc>
      </w:tr>
      <w:tr w:rsidR="00FC5B6A" w14:paraId="16F66F34" w14:textId="77777777">
        <w:trPr>
          <w:jc w:val="center"/>
        </w:trPr>
        <w:tc>
          <w:tcPr>
            <w:tcW w:w="1944" w:type="dxa"/>
            <w:vAlign w:val="center"/>
          </w:tcPr>
          <w:p w14:paraId="05A0183F" w14:textId="77777777" w:rsidR="00FC5B6A" w:rsidRDefault="00000000">
            <w:pPr>
              <w:rPr>
                <w:rFonts w:hint="eastAsia"/>
              </w:rPr>
            </w:pPr>
            <w:r>
              <w:rPr>
                <w:sz w:val="17"/>
              </w:rPr>
              <w:t>Phase 1: Diagnose</w:t>
            </w:r>
          </w:p>
        </w:tc>
        <w:tc>
          <w:tcPr>
            <w:tcW w:w="1944" w:type="dxa"/>
            <w:vAlign w:val="center"/>
          </w:tcPr>
          <w:p w14:paraId="69CEEDF8" w14:textId="77777777" w:rsidR="00FC5B6A" w:rsidRDefault="00000000">
            <w:pPr>
              <w:rPr>
                <w:rFonts w:hint="eastAsia"/>
              </w:rPr>
            </w:pPr>
            <w:r>
              <w:rPr>
                <w:sz w:val="17"/>
              </w:rPr>
              <w:t>0–6 months</w:t>
            </w:r>
          </w:p>
        </w:tc>
        <w:tc>
          <w:tcPr>
            <w:tcW w:w="5472" w:type="dxa"/>
            <w:vAlign w:val="center"/>
          </w:tcPr>
          <w:p w14:paraId="428C2F11" w14:textId="77777777" w:rsidR="00FC5B6A" w:rsidRDefault="00000000">
            <w:pPr>
              <w:rPr>
                <w:rFonts w:hint="eastAsia"/>
              </w:rPr>
            </w:pPr>
            <w:r>
              <w:rPr>
                <w:sz w:val="17"/>
              </w:rPr>
              <w:t>Map programmes; assess infrastructure and faculty capability; define baseline competencies; identify inclusion gaps.</w:t>
            </w:r>
          </w:p>
        </w:tc>
      </w:tr>
      <w:tr w:rsidR="00FC5B6A" w14:paraId="286F81A0" w14:textId="77777777">
        <w:trPr>
          <w:jc w:val="center"/>
        </w:trPr>
        <w:tc>
          <w:tcPr>
            <w:tcW w:w="1944" w:type="dxa"/>
            <w:shd w:val="clear" w:color="auto" w:fill="F3F6FA"/>
            <w:vAlign w:val="center"/>
          </w:tcPr>
          <w:p w14:paraId="0714D112" w14:textId="77777777" w:rsidR="00FC5B6A" w:rsidRDefault="00000000">
            <w:pPr>
              <w:rPr>
                <w:rFonts w:hint="eastAsia"/>
              </w:rPr>
            </w:pPr>
            <w:r>
              <w:rPr>
                <w:sz w:val="17"/>
              </w:rPr>
              <w:t>Phase 2: Build</w:t>
            </w:r>
          </w:p>
        </w:tc>
        <w:tc>
          <w:tcPr>
            <w:tcW w:w="1944" w:type="dxa"/>
            <w:shd w:val="clear" w:color="auto" w:fill="F3F6FA"/>
            <w:vAlign w:val="center"/>
          </w:tcPr>
          <w:p w14:paraId="44A55556" w14:textId="77777777" w:rsidR="00FC5B6A" w:rsidRDefault="00000000">
            <w:pPr>
              <w:rPr>
                <w:rFonts w:hint="eastAsia"/>
              </w:rPr>
            </w:pPr>
            <w:r>
              <w:rPr>
                <w:sz w:val="17"/>
              </w:rPr>
              <w:t>6–18 months</w:t>
            </w:r>
          </w:p>
        </w:tc>
        <w:tc>
          <w:tcPr>
            <w:tcW w:w="5472" w:type="dxa"/>
            <w:shd w:val="clear" w:color="auto" w:fill="F3F6FA"/>
            <w:vAlign w:val="center"/>
          </w:tcPr>
          <w:p w14:paraId="15C7AE1E" w14:textId="77777777" w:rsidR="00FC5B6A" w:rsidRDefault="00000000">
            <w:pPr>
              <w:rPr>
                <w:rFonts w:hint="eastAsia"/>
              </w:rPr>
            </w:pPr>
            <w:r>
              <w:rPr>
                <w:sz w:val="17"/>
              </w:rPr>
              <w:t>Refresh modules; train faculty; launch bridging courses; establish employer boards; strengthen labs/cloud access.</w:t>
            </w:r>
          </w:p>
        </w:tc>
      </w:tr>
      <w:tr w:rsidR="00FC5B6A" w14:paraId="6C02A86C" w14:textId="77777777">
        <w:trPr>
          <w:jc w:val="center"/>
        </w:trPr>
        <w:tc>
          <w:tcPr>
            <w:tcW w:w="1944" w:type="dxa"/>
            <w:vAlign w:val="center"/>
          </w:tcPr>
          <w:p w14:paraId="58CCB0F6" w14:textId="77777777" w:rsidR="00FC5B6A" w:rsidRDefault="00000000">
            <w:pPr>
              <w:rPr>
                <w:rFonts w:hint="eastAsia"/>
              </w:rPr>
            </w:pPr>
            <w:r>
              <w:rPr>
                <w:sz w:val="17"/>
              </w:rPr>
              <w:t>Phase 3: Verify</w:t>
            </w:r>
          </w:p>
        </w:tc>
        <w:tc>
          <w:tcPr>
            <w:tcW w:w="1944" w:type="dxa"/>
            <w:vAlign w:val="center"/>
          </w:tcPr>
          <w:p w14:paraId="3FADC567" w14:textId="77777777" w:rsidR="00FC5B6A" w:rsidRDefault="00000000">
            <w:pPr>
              <w:rPr>
                <w:rFonts w:hint="eastAsia"/>
              </w:rPr>
            </w:pPr>
            <w:r>
              <w:rPr>
                <w:sz w:val="17"/>
              </w:rPr>
              <w:t>18–30 months</w:t>
            </w:r>
          </w:p>
        </w:tc>
        <w:tc>
          <w:tcPr>
            <w:tcW w:w="5472" w:type="dxa"/>
            <w:vAlign w:val="center"/>
          </w:tcPr>
          <w:p w14:paraId="087AD9D0" w14:textId="77777777" w:rsidR="00FC5B6A" w:rsidRDefault="00000000">
            <w:pPr>
              <w:rPr>
                <w:rFonts w:hint="eastAsia"/>
              </w:rPr>
            </w:pPr>
            <w:r>
              <w:rPr>
                <w:sz w:val="17"/>
              </w:rPr>
              <w:t>Introduce competency testing, portfolios, tracer studies and employer feedback; evaluate participation gaps.</w:t>
            </w:r>
          </w:p>
        </w:tc>
      </w:tr>
      <w:tr w:rsidR="00FC5B6A" w14:paraId="461D548F" w14:textId="77777777">
        <w:trPr>
          <w:jc w:val="center"/>
        </w:trPr>
        <w:tc>
          <w:tcPr>
            <w:tcW w:w="1944" w:type="dxa"/>
            <w:shd w:val="clear" w:color="auto" w:fill="F3F6FA"/>
            <w:vAlign w:val="center"/>
          </w:tcPr>
          <w:p w14:paraId="3D04295A" w14:textId="77777777" w:rsidR="00FC5B6A" w:rsidRDefault="00000000">
            <w:pPr>
              <w:rPr>
                <w:rFonts w:hint="eastAsia"/>
              </w:rPr>
            </w:pPr>
            <w:r>
              <w:rPr>
                <w:sz w:val="17"/>
              </w:rPr>
              <w:t>Phase 4: Scale</w:t>
            </w:r>
          </w:p>
        </w:tc>
        <w:tc>
          <w:tcPr>
            <w:tcW w:w="1944" w:type="dxa"/>
            <w:shd w:val="clear" w:color="auto" w:fill="F3F6FA"/>
            <w:vAlign w:val="center"/>
          </w:tcPr>
          <w:p w14:paraId="63B32DBF" w14:textId="77777777" w:rsidR="00FC5B6A" w:rsidRDefault="00000000">
            <w:pPr>
              <w:rPr>
                <w:rFonts w:hint="eastAsia"/>
              </w:rPr>
            </w:pPr>
            <w:r>
              <w:rPr>
                <w:sz w:val="17"/>
              </w:rPr>
              <w:t>30–48 months</w:t>
            </w:r>
          </w:p>
        </w:tc>
        <w:tc>
          <w:tcPr>
            <w:tcW w:w="5472" w:type="dxa"/>
            <w:shd w:val="clear" w:color="auto" w:fill="F3F6FA"/>
            <w:vAlign w:val="center"/>
          </w:tcPr>
          <w:p w14:paraId="6BEEE03C" w14:textId="77777777" w:rsidR="00FC5B6A" w:rsidRDefault="00000000">
            <w:pPr>
              <w:rPr>
                <w:rFonts w:hint="eastAsia"/>
              </w:rPr>
            </w:pPr>
            <w:r>
              <w:rPr>
                <w:sz w:val="17"/>
              </w:rPr>
              <w:t>Expand advanced pathways and microcredentials; share regional resources; institutionalise annual refresh and reporting.</w:t>
            </w:r>
          </w:p>
        </w:tc>
      </w:tr>
    </w:tbl>
    <w:p w14:paraId="6E41C80A" w14:textId="77777777" w:rsidR="00FC5B6A" w:rsidRDefault="00FC5B6A">
      <w:pPr>
        <w:rPr>
          <w:rFonts w:hint="eastAsia"/>
        </w:rPr>
      </w:pPr>
    </w:p>
    <w:p w14:paraId="6CA41C85" w14:textId="77777777" w:rsidR="00FC5B6A" w:rsidRDefault="00000000">
      <w:pPr>
        <w:pStyle w:val="Heading1"/>
      </w:pPr>
      <w:r>
        <w:t>14. Monitoring Indicators</w:t>
      </w:r>
    </w:p>
    <w:tbl>
      <w:tblPr>
        <w:tblStyle w:val="TableGrid"/>
        <w:tblW w:w="0" w:type="auto"/>
        <w:jc w:val="center"/>
        <w:tblLook w:val="04A0" w:firstRow="1" w:lastRow="0" w:firstColumn="1" w:lastColumn="0" w:noHBand="0" w:noVBand="1"/>
      </w:tblPr>
      <w:tblGrid>
        <w:gridCol w:w="2160"/>
        <w:gridCol w:w="7200"/>
      </w:tblGrid>
      <w:tr w:rsidR="00FC5B6A" w14:paraId="1FE2C41C" w14:textId="77777777">
        <w:trPr>
          <w:jc w:val="center"/>
        </w:trPr>
        <w:tc>
          <w:tcPr>
            <w:tcW w:w="2160" w:type="dxa"/>
            <w:shd w:val="clear" w:color="auto" w:fill="17365D"/>
            <w:vAlign w:val="center"/>
          </w:tcPr>
          <w:p w14:paraId="6EE701F1" w14:textId="77777777" w:rsidR="00FC5B6A" w:rsidRDefault="00000000">
            <w:pPr>
              <w:rPr>
                <w:rFonts w:hint="eastAsia"/>
              </w:rPr>
            </w:pPr>
            <w:r>
              <w:rPr>
                <w:b/>
                <w:color w:val="FFFFFF"/>
                <w:sz w:val="18"/>
              </w:rPr>
              <w:t>Area</w:t>
            </w:r>
          </w:p>
        </w:tc>
        <w:tc>
          <w:tcPr>
            <w:tcW w:w="7200" w:type="dxa"/>
            <w:shd w:val="clear" w:color="auto" w:fill="17365D"/>
            <w:vAlign w:val="center"/>
          </w:tcPr>
          <w:p w14:paraId="2F425C7C" w14:textId="77777777" w:rsidR="00FC5B6A" w:rsidRDefault="00000000">
            <w:pPr>
              <w:rPr>
                <w:rFonts w:hint="eastAsia"/>
              </w:rPr>
            </w:pPr>
            <w:r>
              <w:rPr>
                <w:b/>
                <w:color w:val="FFFFFF"/>
                <w:sz w:val="18"/>
              </w:rPr>
              <w:t>Suggested indicator</w:t>
            </w:r>
          </w:p>
        </w:tc>
      </w:tr>
      <w:tr w:rsidR="00FC5B6A" w14:paraId="53169C64" w14:textId="77777777">
        <w:trPr>
          <w:jc w:val="center"/>
        </w:trPr>
        <w:tc>
          <w:tcPr>
            <w:tcW w:w="2160" w:type="dxa"/>
            <w:vAlign w:val="center"/>
          </w:tcPr>
          <w:p w14:paraId="598A2F73" w14:textId="77777777" w:rsidR="00FC5B6A" w:rsidRDefault="00000000">
            <w:pPr>
              <w:rPr>
                <w:rFonts w:hint="eastAsia"/>
              </w:rPr>
            </w:pPr>
            <w:r>
              <w:rPr>
                <w:sz w:val="17"/>
              </w:rPr>
              <w:t>Access</w:t>
            </w:r>
          </w:p>
        </w:tc>
        <w:tc>
          <w:tcPr>
            <w:tcW w:w="7200" w:type="dxa"/>
            <w:vAlign w:val="center"/>
          </w:tcPr>
          <w:p w14:paraId="254B4158" w14:textId="77777777" w:rsidR="00FC5B6A" w:rsidRDefault="00000000">
            <w:pPr>
              <w:rPr>
                <w:rFonts w:hint="eastAsia"/>
              </w:rPr>
            </w:pPr>
            <w:r>
              <w:rPr>
                <w:sz w:val="17"/>
              </w:rPr>
              <w:t>Percentage of students with reliable weekly access to an appropriate device and connectivity.</w:t>
            </w:r>
          </w:p>
        </w:tc>
      </w:tr>
      <w:tr w:rsidR="00FC5B6A" w14:paraId="0E1DA976" w14:textId="77777777">
        <w:trPr>
          <w:jc w:val="center"/>
        </w:trPr>
        <w:tc>
          <w:tcPr>
            <w:tcW w:w="2160" w:type="dxa"/>
            <w:shd w:val="clear" w:color="auto" w:fill="F3F6FA"/>
            <w:vAlign w:val="center"/>
          </w:tcPr>
          <w:p w14:paraId="257A96D9" w14:textId="77777777" w:rsidR="00FC5B6A" w:rsidRDefault="00000000">
            <w:pPr>
              <w:rPr>
                <w:rFonts w:hint="eastAsia"/>
              </w:rPr>
            </w:pPr>
            <w:r>
              <w:rPr>
                <w:sz w:val="17"/>
              </w:rPr>
              <w:t>Foundational competence</w:t>
            </w:r>
          </w:p>
        </w:tc>
        <w:tc>
          <w:tcPr>
            <w:tcW w:w="7200" w:type="dxa"/>
            <w:shd w:val="clear" w:color="auto" w:fill="F3F6FA"/>
            <w:vAlign w:val="center"/>
          </w:tcPr>
          <w:p w14:paraId="6AF9D999" w14:textId="77777777" w:rsidR="00FC5B6A" w:rsidRDefault="00000000">
            <w:pPr>
              <w:rPr>
                <w:rFonts w:hint="eastAsia"/>
              </w:rPr>
            </w:pPr>
            <w:r>
              <w:rPr>
                <w:sz w:val="17"/>
              </w:rPr>
              <w:t>Percentage of students meeting institutional baseline digital competency.</w:t>
            </w:r>
          </w:p>
        </w:tc>
      </w:tr>
      <w:tr w:rsidR="00FC5B6A" w14:paraId="681E96E1" w14:textId="77777777">
        <w:trPr>
          <w:jc w:val="center"/>
        </w:trPr>
        <w:tc>
          <w:tcPr>
            <w:tcW w:w="2160" w:type="dxa"/>
            <w:vAlign w:val="center"/>
          </w:tcPr>
          <w:p w14:paraId="22FAD67B" w14:textId="77777777" w:rsidR="00FC5B6A" w:rsidRDefault="00000000">
            <w:pPr>
              <w:rPr>
                <w:rFonts w:hint="eastAsia"/>
              </w:rPr>
            </w:pPr>
            <w:r>
              <w:rPr>
                <w:sz w:val="17"/>
              </w:rPr>
              <w:t>Advanced learning</w:t>
            </w:r>
          </w:p>
        </w:tc>
        <w:tc>
          <w:tcPr>
            <w:tcW w:w="7200" w:type="dxa"/>
            <w:vAlign w:val="center"/>
          </w:tcPr>
          <w:p w14:paraId="0C02F285" w14:textId="77777777" w:rsidR="00FC5B6A" w:rsidRDefault="00000000">
            <w:pPr>
              <w:rPr>
                <w:rFonts w:hint="eastAsia"/>
              </w:rPr>
            </w:pPr>
            <w:r>
              <w:rPr>
                <w:sz w:val="17"/>
              </w:rPr>
              <w:t>Percentage completing an intermediate/advanced digital module, minor or credential.</w:t>
            </w:r>
          </w:p>
        </w:tc>
      </w:tr>
      <w:tr w:rsidR="00FC5B6A" w14:paraId="606BECA6" w14:textId="77777777">
        <w:trPr>
          <w:jc w:val="center"/>
        </w:trPr>
        <w:tc>
          <w:tcPr>
            <w:tcW w:w="2160" w:type="dxa"/>
            <w:shd w:val="clear" w:color="auto" w:fill="F3F6FA"/>
            <w:vAlign w:val="center"/>
          </w:tcPr>
          <w:p w14:paraId="788F2946" w14:textId="77777777" w:rsidR="00FC5B6A" w:rsidRDefault="00000000">
            <w:pPr>
              <w:rPr>
                <w:rFonts w:hint="eastAsia"/>
              </w:rPr>
            </w:pPr>
            <w:r>
              <w:rPr>
                <w:sz w:val="17"/>
              </w:rPr>
              <w:t>Faculty readiness</w:t>
            </w:r>
          </w:p>
        </w:tc>
        <w:tc>
          <w:tcPr>
            <w:tcW w:w="7200" w:type="dxa"/>
            <w:shd w:val="clear" w:color="auto" w:fill="F3F6FA"/>
            <w:vAlign w:val="center"/>
          </w:tcPr>
          <w:p w14:paraId="272F6615" w14:textId="77777777" w:rsidR="00FC5B6A" w:rsidRDefault="00000000">
            <w:pPr>
              <w:rPr>
                <w:rFonts w:hint="eastAsia"/>
              </w:rPr>
            </w:pPr>
            <w:r>
              <w:rPr>
                <w:sz w:val="17"/>
              </w:rPr>
              <w:t>Percentage of teaching staff completing relevant digital/AI CPD annually.</w:t>
            </w:r>
          </w:p>
        </w:tc>
      </w:tr>
      <w:tr w:rsidR="00FC5B6A" w14:paraId="38260622" w14:textId="77777777">
        <w:trPr>
          <w:jc w:val="center"/>
        </w:trPr>
        <w:tc>
          <w:tcPr>
            <w:tcW w:w="2160" w:type="dxa"/>
            <w:vAlign w:val="center"/>
          </w:tcPr>
          <w:p w14:paraId="27627EEA" w14:textId="77777777" w:rsidR="00FC5B6A" w:rsidRDefault="00000000">
            <w:pPr>
              <w:rPr>
                <w:rFonts w:hint="eastAsia"/>
              </w:rPr>
            </w:pPr>
            <w:r>
              <w:rPr>
                <w:sz w:val="17"/>
              </w:rPr>
              <w:t>Practical learning</w:t>
            </w:r>
          </w:p>
        </w:tc>
        <w:tc>
          <w:tcPr>
            <w:tcW w:w="7200" w:type="dxa"/>
            <w:vAlign w:val="center"/>
          </w:tcPr>
          <w:p w14:paraId="08AB8BFC" w14:textId="77777777" w:rsidR="00FC5B6A" w:rsidRDefault="00000000">
            <w:pPr>
              <w:rPr>
                <w:rFonts w:hint="eastAsia"/>
              </w:rPr>
            </w:pPr>
            <w:r>
              <w:rPr>
                <w:sz w:val="17"/>
              </w:rPr>
              <w:t>Percentage of programmes using assessed digital projects or portfolios.</w:t>
            </w:r>
          </w:p>
        </w:tc>
      </w:tr>
      <w:tr w:rsidR="00FC5B6A" w14:paraId="6B29154F" w14:textId="77777777">
        <w:trPr>
          <w:jc w:val="center"/>
        </w:trPr>
        <w:tc>
          <w:tcPr>
            <w:tcW w:w="2160" w:type="dxa"/>
            <w:shd w:val="clear" w:color="auto" w:fill="F3F6FA"/>
            <w:vAlign w:val="center"/>
          </w:tcPr>
          <w:p w14:paraId="25C61A0C" w14:textId="77777777" w:rsidR="00FC5B6A" w:rsidRDefault="00000000">
            <w:pPr>
              <w:rPr>
                <w:rFonts w:hint="eastAsia"/>
              </w:rPr>
            </w:pPr>
            <w:r>
              <w:rPr>
                <w:sz w:val="17"/>
              </w:rPr>
              <w:t>Industry linkage</w:t>
            </w:r>
          </w:p>
        </w:tc>
        <w:tc>
          <w:tcPr>
            <w:tcW w:w="7200" w:type="dxa"/>
            <w:shd w:val="clear" w:color="auto" w:fill="F3F6FA"/>
            <w:vAlign w:val="center"/>
          </w:tcPr>
          <w:p w14:paraId="3BE21414" w14:textId="77777777" w:rsidR="00FC5B6A" w:rsidRDefault="00000000">
            <w:pPr>
              <w:rPr>
                <w:rFonts w:hint="eastAsia"/>
              </w:rPr>
            </w:pPr>
            <w:r>
              <w:rPr>
                <w:sz w:val="17"/>
              </w:rPr>
              <w:t>Percentage of programmes with active employer advisory input or work-integrated learning.</w:t>
            </w:r>
          </w:p>
        </w:tc>
      </w:tr>
      <w:tr w:rsidR="00FC5B6A" w14:paraId="76FE0FC7" w14:textId="77777777">
        <w:trPr>
          <w:jc w:val="center"/>
        </w:trPr>
        <w:tc>
          <w:tcPr>
            <w:tcW w:w="2160" w:type="dxa"/>
            <w:vAlign w:val="center"/>
          </w:tcPr>
          <w:p w14:paraId="222373EF" w14:textId="77777777" w:rsidR="00FC5B6A" w:rsidRDefault="00000000">
            <w:pPr>
              <w:rPr>
                <w:rFonts w:hint="eastAsia"/>
              </w:rPr>
            </w:pPr>
            <w:r>
              <w:rPr>
                <w:sz w:val="17"/>
              </w:rPr>
              <w:t>Inclusion</w:t>
            </w:r>
          </w:p>
        </w:tc>
        <w:tc>
          <w:tcPr>
            <w:tcW w:w="7200" w:type="dxa"/>
            <w:vAlign w:val="center"/>
          </w:tcPr>
          <w:p w14:paraId="45235198" w14:textId="77777777" w:rsidR="00FC5B6A" w:rsidRDefault="00000000">
            <w:pPr>
              <w:rPr>
                <w:rFonts w:hint="eastAsia"/>
              </w:rPr>
            </w:pPr>
            <w:r>
              <w:rPr>
                <w:sz w:val="17"/>
              </w:rPr>
              <w:t>Digital competency and participation gaps by gender, disability, socioeconomic status and location where lawful and appropriate.</w:t>
            </w:r>
          </w:p>
        </w:tc>
      </w:tr>
      <w:tr w:rsidR="00FC5B6A" w14:paraId="3A5A4E6E" w14:textId="77777777">
        <w:trPr>
          <w:jc w:val="center"/>
        </w:trPr>
        <w:tc>
          <w:tcPr>
            <w:tcW w:w="2160" w:type="dxa"/>
            <w:shd w:val="clear" w:color="auto" w:fill="F3F6FA"/>
            <w:vAlign w:val="center"/>
          </w:tcPr>
          <w:p w14:paraId="0BB04426" w14:textId="77777777" w:rsidR="00FC5B6A" w:rsidRDefault="00000000">
            <w:pPr>
              <w:rPr>
                <w:rFonts w:hint="eastAsia"/>
              </w:rPr>
            </w:pPr>
            <w:r>
              <w:rPr>
                <w:sz w:val="17"/>
              </w:rPr>
              <w:t>Graduate outcomes</w:t>
            </w:r>
          </w:p>
        </w:tc>
        <w:tc>
          <w:tcPr>
            <w:tcW w:w="7200" w:type="dxa"/>
            <w:shd w:val="clear" w:color="auto" w:fill="F3F6FA"/>
            <w:vAlign w:val="center"/>
          </w:tcPr>
          <w:p w14:paraId="04332D37" w14:textId="77777777" w:rsidR="00FC5B6A" w:rsidRDefault="00000000">
            <w:pPr>
              <w:rPr>
                <w:rFonts w:hint="eastAsia"/>
              </w:rPr>
            </w:pPr>
            <w:r>
              <w:rPr>
                <w:sz w:val="17"/>
              </w:rPr>
              <w:t>Employment, role relevance and employer feedback from tracer studies.</w:t>
            </w:r>
          </w:p>
        </w:tc>
      </w:tr>
      <w:tr w:rsidR="00FC5B6A" w14:paraId="0D57B2A3" w14:textId="77777777">
        <w:trPr>
          <w:jc w:val="center"/>
        </w:trPr>
        <w:tc>
          <w:tcPr>
            <w:tcW w:w="2160" w:type="dxa"/>
            <w:vAlign w:val="center"/>
          </w:tcPr>
          <w:p w14:paraId="357F9553" w14:textId="77777777" w:rsidR="00FC5B6A" w:rsidRDefault="00000000">
            <w:pPr>
              <w:rPr>
                <w:rFonts w:hint="eastAsia"/>
              </w:rPr>
            </w:pPr>
            <w:r>
              <w:rPr>
                <w:sz w:val="17"/>
              </w:rPr>
              <w:t>AI governance</w:t>
            </w:r>
          </w:p>
        </w:tc>
        <w:tc>
          <w:tcPr>
            <w:tcW w:w="7200" w:type="dxa"/>
            <w:vAlign w:val="center"/>
          </w:tcPr>
          <w:p w14:paraId="7A904FF0" w14:textId="77777777" w:rsidR="00FC5B6A" w:rsidRDefault="00000000">
            <w:pPr>
              <w:rPr>
                <w:rFonts w:hint="eastAsia"/>
              </w:rPr>
            </w:pPr>
            <w:r>
              <w:rPr>
                <w:sz w:val="17"/>
              </w:rPr>
              <w:t>Percentage of programmes with clear discipline-specific AI guidance and assessment rules.</w:t>
            </w:r>
          </w:p>
        </w:tc>
      </w:tr>
    </w:tbl>
    <w:p w14:paraId="786CC1D9" w14:textId="77777777" w:rsidR="00FC5B6A" w:rsidRDefault="00FC5B6A">
      <w:pPr>
        <w:rPr>
          <w:rFonts w:hint="eastAsia"/>
        </w:rPr>
      </w:pPr>
    </w:p>
    <w:p w14:paraId="7F55893B" w14:textId="77777777" w:rsidR="00FC5B6A" w:rsidRDefault="00000000">
      <w:pPr>
        <w:pStyle w:val="Heading1"/>
      </w:pPr>
      <w:r>
        <w:t>15. Conclusion: From Digital Access to Digital Capability</w:t>
      </w:r>
    </w:p>
    <w:p w14:paraId="0F7E8FC0" w14:textId="77777777" w:rsidR="00FC5B6A" w:rsidRDefault="00000000">
      <w:pPr>
        <w:rPr>
          <w:rFonts w:hint="eastAsia"/>
        </w:rPr>
      </w:pPr>
      <w:r>
        <w:t>West African higher education has moved decisively into the digital era, but the next stage requires a change in emphasis. Access to platforms, devices and online content is necessary; it is not the endpoint. The strategic objective is verified capability: graduates who can use digital systems confidently, interpret data, protect information, solve problems, adapt to new tools and use AI responsibly.</w:t>
      </w:r>
    </w:p>
    <w:p w14:paraId="055D8136" w14:textId="77777777" w:rsidR="00FC5B6A" w:rsidRDefault="00000000">
      <w:pPr>
        <w:rPr>
          <w:rFonts w:hint="eastAsia"/>
        </w:rPr>
      </w:pPr>
      <w:r>
        <w:t>The region does not need every student to become a software engineer. It does need every graduate to possess a credible digital baseline, and it needs substantially larger pipelines of advanced specialists. Achieving that outcome requires institutions to treat digital skills as a whole-of-university agenda rather than the responsibility of ICT departments alone.</w:t>
      </w:r>
    </w:p>
    <w:p w14:paraId="6F329A87" w14:textId="77777777" w:rsidR="00FC5B6A" w:rsidRDefault="00000000">
      <w:pPr>
        <w:rPr>
          <w:rFonts w:hint="eastAsia"/>
        </w:rPr>
      </w:pPr>
      <w:r>
        <w:t>The most important policy shift is therefore from counting courses and facilities to measuring competencies and outcomes. Universities, regulators, employers and regional bodies should build a common evidence base, accelerate faculty development, modernise assessment and create flexible pathways that can evolve with technology. If these elements are combined, higher education can become one of West Africa's strongest engines for digital inclusion, productivity, innovation and globally competitive human capital.</w:t>
      </w:r>
    </w:p>
    <w:p w14:paraId="035F29CD" w14:textId="77777777" w:rsidR="00FC5B6A" w:rsidRDefault="00000000">
      <w:pPr>
        <w:pStyle w:val="Heading1"/>
      </w:pPr>
      <w:r>
        <w:t>References</w:t>
      </w:r>
    </w:p>
    <w:p w14:paraId="74D36194" w14:textId="77777777" w:rsidR="00FC5B6A" w:rsidRDefault="00000000">
      <w:pPr>
        <w:ind w:left="360" w:hanging="360"/>
        <w:rPr>
          <w:rFonts w:hint="eastAsia"/>
        </w:rPr>
      </w:pPr>
      <w:r>
        <w:t>ECOWAS. (2026, May 14). Consulting services for the development of ECOWAS education policy and action plan. Economic Community of West African States.</w:t>
      </w:r>
    </w:p>
    <w:p w14:paraId="6C536F3D" w14:textId="77777777" w:rsidR="00FC5B6A" w:rsidRDefault="00000000">
      <w:pPr>
        <w:ind w:left="360" w:hanging="360"/>
        <w:rPr>
          <w:rFonts w:hint="eastAsia"/>
        </w:rPr>
      </w:pPr>
      <w:r>
        <w:t>ECOWAS. (2026, May 15). A ECOWAS Youth Forum on Artificial Intelligence to build digital skills and foster innovation. Economic Community of West African States.</w:t>
      </w:r>
    </w:p>
    <w:p w14:paraId="57DF5665" w14:textId="77777777" w:rsidR="00FC5B6A" w:rsidRDefault="00000000">
      <w:pPr>
        <w:ind w:left="360" w:hanging="360"/>
        <w:rPr>
          <w:rFonts w:hint="eastAsia"/>
        </w:rPr>
      </w:pPr>
      <w:r>
        <w:t>International Telecommunication Union. (2024). Measuring digital development: Facts and Figures 2024. ITU.</w:t>
      </w:r>
    </w:p>
    <w:p w14:paraId="2E023570" w14:textId="77777777" w:rsidR="00FC5B6A" w:rsidRDefault="00000000">
      <w:pPr>
        <w:ind w:left="360" w:hanging="360"/>
        <w:rPr>
          <w:rFonts w:hint="eastAsia"/>
        </w:rPr>
      </w:pPr>
      <w:r>
        <w:t>International Telecommunication Union. (2024). Facts and Figures 2024: ICT skills. ITU.</w:t>
      </w:r>
    </w:p>
    <w:p w14:paraId="25C8CDE0" w14:textId="77777777" w:rsidR="00FC5B6A" w:rsidRDefault="00000000">
      <w:pPr>
        <w:ind w:left="360" w:hanging="360"/>
        <w:rPr>
          <w:rFonts w:hint="eastAsia"/>
        </w:rPr>
      </w:pPr>
      <w:r>
        <w:t>UNESCO. (2026). Better Education for Africa's Rise project – Phase III (BEAR III). UNESCO.</w:t>
      </w:r>
    </w:p>
    <w:p w14:paraId="238EC918" w14:textId="77777777" w:rsidR="00FC5B6A" w:rsidRDefault="00000000">
      <w:pPr>
        <w:ind w:left="360" w:hanging="360"/>
        <w:rPr>
          <w:rFonts w:hint="eastAsia"/>
        </w:rPr>
      </w:pPr>
      <w:r>
        <w:t>UNESCO. (2025/2026). ICT Transforming Education in Africa. UNESCO.</w:t>
      </w:r>
    </w:p>
    <w:p w14:paraId="37C55278" w14:textId="77777777" w:rsidR="00FC5B6A" w:rsidRDefault="00000000">
      <w:pPr>
        <w:ind w:left="360" w:hanging="360"/>
        <w:rPr>
          <w:rFonts w:hint="eastAsia"/>
        </w:rPr>
      </w:pPr>
      <w:r>
        <w:t>UNESCO. (2026). Support for the digital transformation of education and technical and vocational training in West Africa (Core Data Portal project information). UNESCO.</w:t>
      </w:r>
    </w:p>
    <w:p w14:paraId="27F99AA4" w14:textId="77777777" w:rsidR="00FC5B6A" w:rsidRDefault="00000000">
      <w:pPr>
        <w:ind w:left="360" w:hanging="360"/>
        <w:rPr>
          <w:rFonts w:hint="eastAsia"/>
        </w:rPr>
      </w:pPr>
      <w:r>
        <w:t>World Bank. (2024). Digital Skills in Nigeria: A Summary of the Population's Skills and the Availability of Digital Infrastructure in Schools. World Bank Group.</w:t>
      </w:r>
    </w:p>
    <w:p w14:paraId="2DAE3F46" w14:textId="77777777" w:rsidR="00FC5B6A" w:rsidRDefault="00000000">
      <w:pPr>
        <w:ind w:left="360" w:hanging="360"/>
        <w:rPr>
          <w:rFonts w:hint="eastAsia"/>
        </w:rPr>
      </w:pPr>
      <w:r>
        <w:t>World Bank. (2024/2025). Nigeria – Skill Demand Trends: Insights from Online Job Vacancy Data. World Bank Group.</w:t>
      </w:r>
    </w:p>
    <w:p w14:paraId="10BE3507" w14:textId="77777777" w:rsidR="00FC5B6A" w:rsidRDefault="00000000">
      <w:pPr>
        <w:ind w:left="360" w:hanging="360"/>
        <w:rPr>
          <w:rFonts w:hint="eastAsia"/>
        </w:rPr>
      </w:pPr>
      <w:r>
        <w:t>World Bank. (2020). Ghana Digital Economy Diagnostic: Digital Skills. World Bank Group.</w:t>
      </w:r>
    </w:p>
    <w:p w14:paraId="6C0503CA" w14:textId="77777777" w:rsidR="00FC5B6A" w:rsidRDefault="00000000">
      <w:pPr>
        <w:ind w:left="360" w:hanging="360"/>
        <w:rPr>
          <w:rFonts w:hint="eastAsia"/>
        </w:rPr>
      </w:pPr>
      <w:r>
        <w:t>World Bank. (Digital Economy for Africa diagnostic). Country Diagnostic of Senegal. World Bank Group.</w:t>
      </w:r>
    </w:p>
    <w:p w14:paraId="176F49B5" w14:textId="77777777" w:rsidR="00FC5B6A" w:rsidRDefault="00000000">
      <w:pPr>
        <w:ind w:left="360" w:hanging="360"/>
        <w:rPr>
          <w:rFonts w:hint="eastAsia"/>
        </w:rPr>
      </w:pPr>
      <w:r>
        <w:t>World Bank. (2026). Côte d'Ivoire – Enhancing Youth Employability through Digital Skills and Resilient Hybrid Learning Grants: Completion Note. World Bank Group.</w:t>
      </w:r>
    </w:p>
    <w:p w14:paraId="236B58D5" w14:textId="77777777" w:rsidR="00FC5B6A" w:rsidRDefault="00000000">
      <w:pPr>
        <w:ind w:left="360" w:hanging="360"/>
        <w:rPr>
          <w:rFonts w:hint="eastAsia"/>
        </w:rPr>
      </w:pPr>
      <w:r>
        <w:t>World Bank. (2026). Results Acceleration Program for Inclusive Digitalization in Côte d'Ivoire – Phase 1: Implementation Status and Results Report. World Bank Group.</w:t>
      </w:r>
    </w:p>
    <w:p w14:paraId="683BA012" w14:textId="77777777" w:rsidR="00FC5B6A" w:rsidRDefault="00000000">
      <w:pPr>
        <w:ind w:left="360" w:hanging="360"/>
        <w:rPr>
          <w:rFonts w:hint="eastAsia"/>
        </w:rPr>
      </w:pPr>
      <w:r>
        <w:t>World Bank. (2026). From classroom to career: Benchmarking Senegal's future jobs. World Bank Blogs / education.</w:t>
      </w:r>
    </w:p>
    <w:p w14:paraId="5278B153" w14:textId="77777777" w:rsidR="00FC5B6A" w:rsidRDefault="00000000">
      <w:pPr>
        <w:ind w:left="360" w:hanging="360"/>
        <w:rPr>
          <w:rFonts w:hint="eastAsia"/>
        </w:rPr>
      </w:pPr>
      <w:r>
        <w:t>World Bank &amp; Mastercard Foundation partnership programme. Digital skills initiatives and evidence resources for Africa.</w:t>
      </w:r>
    </w:p>
    <w:p w14:paraId="7B378E5F" w14:textId="77777777" w:rsidR="00FC5B6A" w:rsidRDefault="00000000">
      <w:pPr>
        <w:pStyle w:val="Heading2"/>
      </w:pPr>
      <w:r>
        <w:t>Selected Source Links</w:t>
      </w:r>
    </w:p>
    <w:p w14:paraId="1D5DCED2" w14:textId="77777777" w:rsidR="00FC5B6A" w:rsidRDefault="00000000">
      <w:pPr>
        <w:rPr>
          <w:rFonts w:hint="eastAsia"/>
        </w:rPr>
      </w:pPr>
      <w:r>
        <w:rPr>
          <w:b/>
        </w:rPr>
        <w:t xml:space="preserve">ITU Facts and Figures 2024: </w:t>
      </w:r>
      <w:r>
        <w:t>https://www.itu.int/itu-d/reports/statistics/facts-figures-2024/</w:t>
      </w:r>
    </w:p>
    <w:p w14:paraId="32D40EF4" w14:textId="77777777" w:rsidR="00FC5B6A" w:rsidRDefault="00000000">
      <w:pPr>
        <w:rPr>
          <w:rFonts w:hint="eastAsia"/>
        </w:rPr>
      </w:pPr>
      <w:r>
        <w:rPr>
          <w:b/>
        </w:rPr>
        <w:t xml:space="preserve">ITU ICT Skills 2024: </w:t>
      </w:r>
      <w:r>
        <w:t>https://www.itu.int/itu-d/reports/statistics/2024/11/10/ff24-ict-skills/</w:t>
      </w:r>
    </w:p>
    <w:p w14:paraId="0C4E771E" w14:textId="77777777" w:rsidR="00FC5B6A" w:rsidRDefault="00000000">
      <w:pPr>
        <w:rPr>
          <w:rFonts w:hint="eastAsia"/>
        </w:rPr>
      </w:pPr>
      <w:r>
        <w:rPr>
          <w:b/>
        </w:rPr>
        <w:t xml:space="preserve">UNESCO BEAR III: </w:t>
      </w:r>
      <w:r>
        <w:t>https://www.unesco.org/en/skills-work-life/bear-project/phase-iii</w:t>
      </w:r>
    </w:p>
    <w:p w14:paraId="393C7086" w14:textId="77777777" w:rsidR="00FC5B6A" w:rsidRDefault="00000000">
      <w:pPr>
        <w:rPr>
          <w:rFonts w:hint="eastAsia"/>
        </w:rPr>
      </w:pPr>
      <w:r>
        <w:rPr>
          <w:b/>
        </w:rPr>
        <w:t xml:space="preserve">UNESCO ICT Transforming Education in Africa: </w:t>
      </w:r>
      <w:r>
        <w:t>https://www.unesco.org/en/digital-education/kfit-africa</w:t>
      </w:r>
    </w:p>
    <w:p w14:paraId="5EB5881D" w14:textId="77777777" w:rsidR="00FC5B6A" w:rsidRDefault="00000000">
      <w:pPr>
        <w:rPr>
          <w:rFonts w:hint="eastAsia"/>
        </w:rPr>
      </w:pPr>
      <w:r>
        <w:rPr>
          <w:b/>
        </w:rPr>
        <w:t xml:space="preserve">World Bank – Digital Skills in Nigeria: </w:t>
      </w:r>
      <w:r>
        <w:t>https://documents.worldbank.org/pt/publication/documents-reports/documentdetail/099954107182514013</w:t>
      </w:r>
    </w:p>
    <w:p w14:paraId="7533ACA7" w14:textId="77777777" w:rsidR="00FC5B6A" w:rsidRDefault="00000000">
      <w:pPr>
        <w:rPr>
          <w:rFonts w:hint="eastAsia"/>
        </w:rPr>
      </w:pPr>
      <w:r>
        <w:rPr>
          <w:b/>
        </w:rPr>
        <w:t xml:space="preserve">World Bank – Nigeria Skill Demand Trends: </w:t>
      </w:r>
      <w:r>
        <w:t>https://documents.worldbank.org/en/publication/documents-reports/documentdetail/099010507222517560</w:t>
      </w:r>
    </w:p>
    <w:p w14:paraId="5A7386FD" w14:textId="77777777" w:rsidR="00FC5B6A" w:rsidRDefault="00000000">
      <w:pPr>
        <w:rPr>
          <w:rFonts w:hint="eastAsia"/>
        </w:rPr>
      </w:pPr>
      <w:r>
        <w:rPr>
          <w:b/>
        </w:rPr>
        <w:t xml:space="preserve">World Bank – Senegal future jobs benchmarking: </w:t>
      </w:r>
      <w:r>
        <w:t>https://blogs.worldbank.org/en/education/from-classroom-to-career--benchmarking-senegal-s-future-jobs</w:t>
      </w:r>
    </w:p>
    <w:p w14:paraId="1D0E8FB9" w14:textId="77777777" w:rsidR="00FC5B6A" w:rsidRDefault="00000000">
      <w:pPr>
        <w:rPr>
          <w:rFonts w:hint="eastAsia"/>
        </w:rPr>
      </w:pPr>
      <w:r>
        <w:rPr>
          <w:b/>
        </w:rPr>
        <w:t xml:space="preserve">ECOWAS AI Youth Forum 2026: </w:t>
      </w:r>
      <w:r>
        <w:t>https://www.ecowas.int/a-ecowas-youth-forum-on-artificial-intelligence-to-build-digital-skills-and-foster-innovation/</w:t>
      </w:r>
    </w:p>
    <w:sectPr w:rsidR="00FC5B6A" w:rsidSect="00034616">
      <w:footerReference w:type="default" r:id="rId8"/>
      <w:pgSz w:w="12240" w:h="15840"/>
      <w:pgMar w:top="1008" w:right="1152" w:bottom="1008"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987E1F" w14:textId="77777777" w:rsidR="000A7613" w:rsidRDefault="000A7613">
      <w:pPr>
        <w:spacing w:after="0" w:line="240" w:lineRule="auto"/>
        <w:rPr>
          <w:rFonts w:hint="eastAsia"/>
        </w:rPr>
      </w:pPr>
      <w:r>
        <w:separator/>
      </w:r>
    </w:p>
  </w:endnote>
  <w:endnote w:type="continuationSeparator" w:id="0">
    <w:p w14:paraId="78AA1E4A" w14:textId="77777777" w:rsidR="000A7613" w:rsidRDefault="000A7613">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C4450C" w14:textId="77777777" w:rsidR="00FC5B6A" w:rsidRDefault="00000000">
    <w:pPr>
      <w:pStyle w:val="Footer"/>
      <w:jc w:val="center"/>
      <w:rPr>
        <w:rFonts w:hint="eastAsia"/>
      </w:rPr>
    </w:pPr>
    <w:r>
      <w:rPr>
        <w:color w:val="7F7F7F"/>
        <w:sz w:val="16"/>
      </w:rPr>
      <w:t>State of Digital Skills Training in West African Higher Education |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D40BE4" w14:textId="77777777" w:rsidR="000A7613" w:rsidRDefault="000A7613">
      <w:pPr>
        <w:spacing w:after="0" w:line="240" w:lineRule="auto"/>
        <w:rPr>
          <w:rFonts w:hint="eastAsia"/>
        </w:rPr>
      </w:pPr>
      <w:r>
        <w:separator/>
      </w:r>
    </w:p>
  </w:footnote>
  <w:footnote w:type="continuationSeparator" w:id="0">
    <w:p w14:paraId="41AECB02" w14:textId="77777777" w:rsidR="000A7613" w:rsidRDefault="000A7613">
      <w:pPr>
        <w:spacing w:after="0" w:line="240" w:lineRule="auto"/>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086803252">
    <w:abstractNumId w:val="8"/>
  </w:num>
  <w:num w:numId="2" w16cid:durableId="145318954">
    <w:abstractNumId w:val="6"/>
  </w:num>
  <w:num w:numId="3" w16cid:durableId="1480806575">
    <w:abstractNumId w:val="5"/>
  </w:num>
  <w:num w:numId="4" w16cid:durableId="2091000753">
    <w:abstractNumId w:val="4"/>
  </w:num>
  <w:num w:numId="5" w16cid:durableId="204487826">
    <w:abstractNumId w:val="7"/>
  </w:num>
  <w:num w:numId="6" w16cid:durableId="702370104">
    <w:abstractNumId w:val="3"/>
  </w:num>
  <w:num w:numId="7" w16cid:durableId="1336376780">
    <w:abstractNumId w:val="2"/>
  </w:num>
  <w:num w:numId="8" w16cid:durableId="795148698">
    <w:abstractNumId w:val="1"/>
  </w:num>
  <w:num w:numId="9" w16cid:durableId="6853238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proofState w:spelling="clean" w:grammar="clean"/>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560C3"/>
    <w:rsid w:val="0006063C"/>
    <w:rsid w:val="000A7613"/>
    <w:rsid w:val="000B2568"/>
    <w:rsid w:val="0015074B"/>
    <w:rsid w:val="0029639D"/>
    <w:rsid w:val="00326F90"/>
    <w:rsid w:val="00AA1D8D"/>
    <w:rsid w:val="00B47730"/>
    <w:rsid w:val="00CB0664"/>
    <w:rsid w:val="00FC5B6A"/>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8A7A5DC"/>
  <w14:defaultImageDpi w14:val="300"/>
  <w15:docId w15:val="{6EB4EF97-BC72-4137-AE2F-EF9C4317B9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69" w:lineRule="auto"/>
    </w:pPr>
    <w:rPr>
      <w:rFonts w:ascii="Aptos" w:hAnsi="Aptos"/>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17365D"/>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2F5597"/>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365F9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ReportSubtitle">
    <w:name w:val="Report Subtitle"/>
    <w:pPr>
      <w:spacing w:after="320"/>
    </w:pPr>
    <w:rPr>
      <w:rFonts w:ascii="Aptos" w:hAnsi="Aptos"/>
      <w:color w:val="44546A"/>
      <w:sz w:val="28"/>
    </w:rPr>
  </w:style>
  <w:style w:type="paragraph" w:customStyle="1" w:styleId="Callout">
    <w:name w:val="Callout"/>
    <w:pPr>
      <w:spacing w:before="160" w:after="160"/>
      <w:ind w:left="288" w:right="288"/>
    </w:pPr>
    <w:rPr>
      <w:rFonts w:ascii="Aptos" w:hAnsi="Aptos"/>
      <w:b/>
      <w:color w:val="17365D"/>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4700</Words>
  <Characters>26796</Characters>
  <Application>Microsoft Office Word</Application>
  <DocSecurity>0</DocSecurity>
  <Lines>223</Lines>
  <Paragraphs>62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31434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Taz taz</cp:lastModifiedBy>
  <cp:revision>2</cp:revision>
  <dcterms:created xsi:type="dcterms:W3CDTF">2013-12-23T23:15:00Z</dcterms:created>
  <dcterms:modified xsi:type="dcterms:W3CDTF">2026-09-17T18:01:00Z</dcterms:modified>
  <cp:category/>
</cp:coreProperties>
</file>