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t xml:space="preserve">Mobile Money Adoption and Financial Inclusion in Rural Nigeria</w:t>
      </w:r>
    </w:p>
    <w:p>
      <w:pPr>
        <w:spacing w:after="300"/>
      </w:pPr>
      <w:r>
        <w:rPr>
          <w:i/>
          <w:iCs/>
        </w:rPr>
        <w:t xml:space="preserve">A policy and research analysis by RRPA</w:t>
      </w:r>
    </w:p>
    <w:p>
      <w:pPr>
        <w:pBdr>
          <w:bottom w:val="single" w:color="999999" w:sz="6" w:space="1"/>
        </w:pBdr>
        <w:spacing w:after="240"/>
      </w:pPr>
    </w:p>
    <w:p>
      <w:pPr>
        <w:pStyle w:val="Heading2"/>
        <w:spacing w:after="120" w:before="280"/>
      </w:pPr>
      <w:r>
        <w:t xml:space="preserve">Introduction</w:t>
      </w:r>
    </w:p>
    <w:p>
      <w:pPr>
        <w:spacing w:after="200" w:line="300"/>
      </w:pPr>
      <w:r>
        <w:t xml:space="preserve">Financial inclusion remains a central pillar of Nigeria's development agenda. Although access to formal financial services has expanded considerably over the past decade, significant gaps persist among rural communities, low-income households, smallholder farmers, informal businesses, women, and other underserved populations.</w:t>
      </w:r>
    </w:p>
    <w:p>
      <w:pPr>
        <w:spacing w:after="200" w:line="300"/>
      </w:pPr>
      <w:r>
        <w:t xml:space="preserve">Mobile money and digital financial services have emerged as important mechanisms for narrowing these gaps. By allowing individuals to send and receive money, make payments, save, and access other financial services through mobile-enabled platforms and agent networks, mobile money can reduce many of the geographical and infrastructural barriers associated with conventional banking.</w:t>
      </w:r>
    </w:p>
    <w:p>
      <w:pPr>
        <w:spacing w:after="200" w:line="300"/>
      </w:pPr>
      <w:r>
        <w:t xml:space="preserve">For rural Nigeria, however, the question is not simply whether mobile money exists. The more important question is whether rural households can </w:t>
      </w:r>
      <w:r>
        <w:rPr>
          <w:b/>
          <w:bCs/>
        </w:rPr>
        <w:t xml:space="preserve">reliably access, afford, understand, trust, and regularly use</w:t>
      </w:r>
      <w:r>
        <w:t xml:space="preserve"> mobile money services.</w:t>
      </w:r>
    </w:p>
    <w:p>
      <w:pPr>
        <w:spacing w:after="200" w:line="300"/>
      </w:pPr>
      <w:r>
        <w:t xml:space="preserve">This distinction matters. The presence of a mobile money account or agent in a community does not automatically translate into meaningful financial inclusion.</w:t>
      </w:r>
    </w:p>
    <w:p>
      <w:pPr>
        <w:spacing w:after="200" w:line="300"/>
      </w:pPr>
      <w:r>
        <w:rPr>
          <w:i/>
          <w:iCs/>
        </w:rPr>
        <w:t xml:space="preserve">Note on approach: This article synthesises publicly available Nigerian financial-inclusion and payments data. RRPA has not conducted a primary rural household survey, and the rural adoption gap discussed below is identified as a priority area for future field research.</w:t>
      </w:r>
    </w:p>
    <w:p>
      <w:pPr>
        <w:pStyle w:val="Heading2"/>
        <w:spacing w:after="120" w:before="280"/>
      </w:pPr>
      <w:r>
        <w:t xml:space="preserve">The Financial Inclusion Challenge in Rural Nigeria</w:t>
      </w:r>
    </w:p>
    <w:p>
      <w:pPr>
        <w:spacing w:after="200" w:line="300"/>
      </w:pPr>
      <w:r>
        <w:t xml:space="preserve">Nigeria has made measurable progress on financial inclusion. According to the EFInA 2023 Access to Financial Services in Nigeria (A2F) survey, formal financial inclusion rose from 56% in 2020 to 64% in 2023, while the share of financially excluded adults fell from 32% to 26% over the same period.</w:t>
      </w:r>
      <w:r>
        <w:rPr>
          <w:vertAlign w:val="superscript"/>
        </w:rPr>
        <w:t xml:space="preserve">1</w:t>
      </w:r>
      <w:r>
        <w:t xml:space="preserve"> Including informal mechanisms, EFInA reported that total financial inclusion reached roughly 74% in 2023.</w:t>
      </w:r>
      <w:r>
        <w:rPr>
          <w:vertAlign w:val="superscript"/>
        </w:rPr>
        <w:t xml:space="preserve">2</w:t>
      </w:r>
    </w:p>
    <w:p>
      <w:pPr>
        <w:spacing w:after="200" w:line="300"/>
      </w:pPr>
      <w:r>
        <w:t xml:space="preserve">National averages, however, conceal substantial regional disparities. EFInA's 2023 findings showed financial exclusion remaining most severe in northern Nigeria — around 38% in the North-East and higher still in the North-West — reflecting the compounding effects of poverty, insecurity, and distance from financial service providers in those regions.</w:t>
      </w:r>
      <w:r>
        <w:rPr>
          <w:vertAlign w:val="superscript"/>
        </w:rPr>
        <w:t xml:space="preserve">2</w:t>
      </w:r>
      <w:r>
        <w:t xml:space="preserve"> Rural communities more broadly face longer distances to conventional financial institutions, weaker telecommunications infrastructure, unreliable electricity, and lower financial literacy than urban areas.</w:t>
      </w:r>
    </w:p>
    <w:p>
      <w:pPr>
        <w:spacing w:after="200" w:line="300"/>
      </w:pPr>
      <w:r>
        <w:t xml:space="preserve">The Central Bank of Nigeria (CBN) has explicitly recognised the difficulty of extending conventional branch-based financial infrastructure across Nigeria's large and geographically dispersed rural population. Its financial-inclusion strategy has therefore emphasised agent networks, digital financial services, simplified Know Your Customer (KYC) requirements, and digital payment infrastructure.</w:t>
      </w:r>
      <w:r>
        <w:rPr>
          <w:vertAlign w:val="superscript"/>
        </w:rPr>
        <w:t xml:space="preserve">3</w:t>
      </w:r>
    </w:p>
    <w:p>
      <w:pPr>
        <w:spacing w:after="200" w:line="300"/>
      </w:pPr>
      <w:r>
        <w:rPr>
          <w:b/>
          <w:bCs/>
        </w:rPr>
        <w:t xml:space="preserve">The implication is straightforward: </w:t>
      </w:r>
      <w:r>
        <w:rPr>
          <w:b/>
          <w:bCs/>
        </w:rPr>
        <w:t xml:space="preserve">financial inclusion in rural Nigeria requires delivery mechanisms that can reach people where conventional bank branches cannot.</w:t>
      </w:r>
    </w:p>
    <w:p>
      <w:pPr>
        <w:pStyle w:val="Heading2"/>
        <w:spacing w:after="120" w:before="280"/>
      </w:pPr>
      <w:r>
        <w:t xml:space="preserve">Mobile Money as an Alternative Financial Access Channel</w:t>
      </w:r>
    </w:p>
    <w:p>
      <w:pPr>
        <w:spacing w:after="200" w:line="300"/>
      </w:pPr>
      <w:r>
        <w:t xml:space="preserve">Mobile money offers a potential mechanism for addressing this challenge. Instead of requiring customers to travel to a bank branch, mobile-enabled financial services allow users to transact through mobile devices and nearby agents, who serve as local access points for cash-in/cash-out and other services.</w:t>
      </w:r>
    </w:p>
    <w:p>
      <w:pPr>
        <w:spacing w:after="200" w:line="300"/>
      </w:pPr>
      <w:r>
        <w:t xml:space="preserve">Nigeria's regulatory environment has actively supported the development of mobile money and agent-based financial services. The CBN licenses mobile money operators (MMOs) and has backed initiatives to expand financial access points in underserved communities.</w:t>
      </w:r>
    </w:p>
    <w:p>
      <w:pPr>
        <w:spacing w:after="200" w:line="300"/>
      </w:pPr>
      <w:r>
        <w:t xml:space="preserve">Chief among these is the </w:t>
      </w:r>
      <w:r>
        <w:rPr>
          <w:b/>
          <w:bCs/>
        </w:rPr>
        <w:t xml:space="preserve">Shared Agent Network Expansion Facility (SANEF)</w:t>
      </w:r>
      <w:r>
        <w:t xml:space="preserve">, established by the CBN in 2018 in collaboration with the Body of Bank Chief Executives. SANEF provides financing to CBN-licensed super agents and MMOs to build out financial access points across Nigeria's 774 local government areas, with a particular focus on financially excluded locations, and was designed to increase agent penetration among the unbanked population.</w:t>
      </w:r>
      <w:r>
        <w:rPr>
          <w:vertAlign w:val="superscript"/>
        </w:rPr>
        <w:t xml:space="preserve">4</w:t>
      </w:r>
    </w:p>
    <w:p>
      <w:pPr>
        <w:spacing w:after="200" w:line="300"/>
      </w:pPr>
      <w:r>
        <w:rPr>
          <w:b/>
          <w:bCs/>
        </w:rPr>
        <w:t xml:space="preserve">Mobile money should therefore not be understood simply as a technology product.</w:t>
      </w:r>
      <w:r>
        <w:t xml:space="preserve"> Its effectiveness depends on a wider ecosystem of </w:t>
      </w:r>
      <w:r>
        <w:rPr>
          <w:b/>
          <w:bCs/>
        </w:rPr>
        <w:t xml:space="preserve">mobile connectivity, agents, identity systems, payment infrastructure, consumer protection, financial literacy, trust, and regulatory oversight</w:t>
      </w:r>
      <w:r>
        <w:t xml:space="preserve">.</w:t>
      </w:r>
    </w:p>
    <w:p>
      <w:pPr>
        <w:pStyle w:val="Heading2"/>
        <w:spacing w:after="120" w:before="280"/>
      </w:pPr>
      <w:r>
        <w:t xml:space="preserve">Evidence of the Expansion of Digital Payments</w:t>
      </w:r>
    </w:p>
    <w:p>
      <w:pPr>
        <w:spacing w:after="200" w:line="300"/>
      </w:pPr>
      <w:r>
        <w:t xml:space="preserve">Nigeria's broader payments ecosystem has undergone substantial digitalisation, though the data require careful interpretation — “mobile payments” and “mobile money” are not the same thing in CBN's own reporting.</w:t>
      </w:r>
    </w:p>
    <w:p>
      <w:pPr>
        <w:spacing w:after="200" w:line="300"/>
      </w:pPr>
      <w:r>
        <w:t xml:space="preserve">CBN's e-payment statistics for the first half of 2024 distinguish several mobile-related channels. “Mobile App Transfers” — bank-linked mobile banking apps, which the CBN explicitly classifies as </w:t>
      </w:r>
      <w:r>
        <w:rPr>
          <w:b/>
          <w:bCs/>
        </w:rPr>
        <w:t xml:space="preserve">separate from mobile money</w:t>
      </w:r>
      <w:r>
        <w:t xml:space="preserve"> — recorded roughly 3.49 billion transactions worth about ₦159.4 trillion.</w:t>
      </w:r>
      <w:r>
        <w:rPr>
          <w:vertAlign w:val="superscript"/>
        </w:rPr>
        <w:t xml:space="preserve">5</w:t>
      </w:r>
      <w:r>
        <w:t xml:space="preserve"> The dedicated mobile-money channel (MMOs) recorded a separate 7.18 billion transactions worth approximately ₦78.2 trillion over the same period.</w:t>
      </w:r>
      <w:r>
        <w:rPr>
          <w:vertAlign w:val="superscript"/>
        </w:rPr>
        <w:t xml:space="preserve">5</w:t>
      </w:r>
      <w:r>
        <w:t xml:space="preserve"> More recent NIBSS data show mobile money operators (including OPay, PalmPay, and Paga) processing ₦71.5 trillion in transaction value across the whole of 2024, a 53.4% increase on the ₦46.6 trillion recorded in 2023.</w:t>
      </w:r>
      <w:r>
        <w:rPr>
          <w:vertAlign w:val="superscript"/>
        </w:rPr>
        <w:t xml:space="preserve">6</w:t>
      </w:r>
    </w:p>
    <w:p>
      <w:pPr>
        <w:spacing w:after="200" w:line="300"/>
      </w:pPr>
      <w:r>
        <w:rPr>
          <w:b/>
          <w:bCs/>
        </w:rPr>
        <w:t xml:space="preserve">These figures point to genuinely rapid growth in mobile-enabled finance.</w:t>
      </w:r>
      <w:r>
        <w:t xml:space="preserve"> However, high transaction volumes at the national level should not be read as evidence that rural households have achieved comparable levels of access or usage — national totals are heavily weighted toward urban and peri-urban transaction activity. The central policy challenge is therefore to translate Nigeria's digital-payment expansion into </w:t>
      </w:r>
      <w:r>
        <w:rPr>
          <w:b/>
          <w:bCs/>
        </w:rPr>
        <w:t xml:space="preserve">inclusive digital finance that genuinely reaches underserved rural populations</w:t>
      </w:r>
      <w:r>
        <w:t xml:space="preserve">.</w:t>
      </w:r>
    </w:p>
    <w:p>
      <w:pPr>
        <w:pStyle w:val="Heading2"/>
        <w:spacing w:after="120" w:before="280"/>
      </w:pPr>
      <w:r>
        <w:t xml:space="preserve">How Mobile Money Can Support Rural Financial Inclusion</w:t>
      </w:r>
    </w:p>
    <w:p>
      <w:pPr>
        <w:pStyle w:val="Heading3"/>
        <w:spacing w:after="100" w:before="220"/>
      </w:pPr>
      <w:r>
        <w:t xml:space="preserve">1. Reducing Distance Barriers</w:t>
      </w:r>
    </w:p>
    <w:p>
      <w:pPr>
        <w:spacing w:after="200" w:line="300"/>
      </w:pPr>
      <w:r>
        <w:t xml:space="preserve">Agent-based mobile financial services can bring financial access points closer to rural residents. Where a conventional bank branch may be several kilometres away, a functioning agent within a village or nearby market can offer a far more accessible point of contact, reducing transport costs, time costs, and the opportunity costs of travelling to urban centres.</w:t>
      </w:r>
    </w:p>
    <w:p>
      <w:pPr>
        <w:pStyle w:val="Heading3"/>
        <w:spacing w:after="100" w:before="220"/>
      </w:pPr>
      <w:r>
        <w:t xml:space="preserve">2. Facilitating Remittances and Transfers</w:t>
      </w:r>
    </w:p>
    <w:p>
      <w:pPr>
        <w:spacing w:after="200" w:line="300"/>
      </w:pPr>
      <w:r>
        <w:t xml:space="preserve">Rural households frequently rely on transfers from family members working elsewhere. Mobile money can make such transfers faster and more convenient than cash-based alternatives, a pattern reflected in the World Bank's Global Findex data on account use for transfers and remittances.</w:t>
      </w:r>
      <w:r>
        <w:rPr>
          <w:vertAlign w:val="superscript"/>
        </w:rPr>
        <w:t xml:space="preserve">7</w:t>
      </w:r>
    </w:p>
    <w:p>
      <w:pPr>
        <w:pStyle w:val="Heading3"/>
        <w:spacing w:after="100" w:before="220"/>
      </w:pPr>
      <w:r>
        <w:t xml:space="preserve">3. Supporting Small Businesses and Informal Enterprises</w:t>
      </w:r>
    </w:p>
    <w:p>
      <w:pPr>
        <w:spacing w:after="200" w:line="300"/>
      </w:pPr>
      <w:r>
        <w:t xml:space="preserve">Small rural businesses often operate predominantly in cash. Digital payment mechanisms can allow merchants and microenterprises to receive payments electronically, keep transaction records, and begin to build a financial history — potentially useful for small traders, farmers, transport operators, and other informal businesses seeking a gradual transition into more formal financial relationships.</w:t>
      </w:r>
    </w:p>
    <w:p>
      <w:pPr>
        <w:pStyle w:val="Heading3"/>
        <w:spacing w:after="100" w:before="220"/>
      </w:pPr>
      <w:r>
        <w:t xml:space="preserve">4. Creating Opportunities for Digital Savings</w:t>
      </w:r>
    </w:p>
    <w:p>
      <w:pPr>
        <w:spacing w:after="200" w:line="300"/>
      </w:pPr>
      <w:r>
        <w:t xml:space="preserve">Mobile money can also support savings behaviour. The World Bank's Global Findex Database 2025 found that a record 40% of adults in low- and middle-income economies now save formally — a 16-percentage-point jump since 2021, and the fastest growth in over a decade — with the increase attributed largely to rising mobile money usage.</w:t>
      </w:r>
      <w:r>
        <w:rPr>
          <w:vertAlign w:val="superscript"/>
        </w:rPr>
        <w:t xml:space="preserve">7</w:t>
      </w:r>
      <w:r>
        <w:t xml:space="preserve"> In Sub-Saharan Africa specifically, formal savings rose 12 percentage points to 35% of adults, and mobile money account ownership climbed to 40% of adults in 2024, up from 27% in 2021.</w:t>
      </w:r>
      <w:r>
        <w:rPr>
          <w:vertAlign w:val="superscript"/>
        </w:rPr>
        <w:t xml:space="preserve">7</w:t>
      </w:r>
      <w:r>
        <w:t xml:space="preserve"> These figures are regional rather than Nigeria-specific and do not establish that mobile money </w:t>
      </w:r>
      <w:r>
        <w:rPr>
          <w:i/>
          <w:iCs/>
        </w:rPr>
        <w:t xml:space="preserve">causes</w:t>
      </w:r>
      <w:r>
        <w:t xml:space="preserve"> higher savings among rural Nigerian households, but they illustrate the broader trend of mobile accounts becoming more than simple transaction channels.</w:t>
      </w:r>
    </w:p>
    <w:p>
      <w:pPr>
        <w:pStyle w:val="Heading3"/>
        <w:spacing w:after="100" w:before="220"/>
      </w:pPr>
      <w:r>
        <w:t xml:space="preserve">5. Connecting Rural Communities to the Wider Digital Economy</w:t>
      </w:r>
    </w:p>
    <w:p>
      <w:pPr>
        <w:spacing w:after="200" w:line="300"/>
      </w:pPr>
      <w:r>
        <w:t xml:space="preserve">Mobile money can serve as an entry point into broader digital financial services. Once users become familiar with digital transactions, they may be better positioned to access digital savings, payments, insurance, and credit products — provided those products are appropriately designed and responsibly delivered. The CBN has similarly identified digital financial services as a core pillar of its financial-inclusion strategy.</w:t>
      </w:r>
      <w:r>
        <w:rPr>
          <w:vertAlign w:val="superscript"/>
        </w:rPr>
        <w:t xml:space="preserve">3</w:t>
      </w:r>
    </w:p>
    <w:p>
      <w:pPr>
        <w:pStyle w:val="Heading2"/>
        <w:spacing w:after="120" w:before="280"/>
      </w:pPr>
      <w:r>
        <w:t xml:space="preserve">Barriers to Mobile Money Adoption in Rural Nigeria</w:t>
      </w:r>
    </w:p>
    <w:p>
      <w:pPr>
        <w:spacing w:after="200" w:line="300"/>
      </w:pPr>
      <w:r>
        <w:t xml:space="preserve">The potential benefits should not obscure the barriers that persist, particularly in rural areas.</w:t>
      </w:r>
    </w:p>
    <w:p>
      <w:pPr>
        <w:spacing w:after="200" w:line="300"/>
      </w:pPr>
      <w:r>
        <w:rPr>
          <w:b/>
          <w:bCs/>
        </w:rPr>
        <w:t xml:space="preserve">Network and electricity infrastructure. </w:t>
      </w:r>
      <w:r>
        <w:t xml:space="preserve">Mobile financial services depend on telecommunications infrastructure and, directly or indirectly, on electricity for phones and agent devices. Weak network coverage, service interruptions, and power constraints can undermine confidence in digital financial services.</w:t>
      </w:r>
    </w:p>
    <w:p>
      <w:pPr>
        <w:spacing w:after="200" w:line="300"/>
      </w:pPr>
      <w:r>
        <w:rPr>
          <w:b/>
          <w:bCs/>
        </w:rPr>
        <w:t xml:space="preserve">Limited digital and financial literacy. </w:t>
      </w:r>
      <w:r>
        <w:t xml:space="preserve">Owning a mobile phone does not guarantee the knowledge needed to use financial applications safely — users need to understand PIN security, transaction confirmation, fraud risks, fees, and dispute-resolution mechanisms.</w:t>
      </w:r>
    </w:p>
    <w:p>
      <w:pPr>
        <w:spacing w:after="200" w:line="300"/>
      </w:pPr>
      <w:r>
        <w:rPr>
          <w:b/>
          <w:bCs/>
        </w:rPr>
        <w:t xml:space="preserve">Trust and consumer protection. </w:t>
      </w:r>
      <w:r>
        <w:t xml:space="preserve">Users may hesitate to hold money digitally if they fear fraud, unauthorised transactions, or difficulty recovering funds when something goes wrong. Sustained adoption depends on effective consumer-protection mechanisms and accessible complaint channels.</w:t>
      </w:r>
    </w:p>
    <w:p>
      <w:pPr>
        <w:spacing w:after="200" w:line="300"/>
      </w:pPr>
      <w:r>
        <w:rPr>
          <w:b/>
          <w:bCs/>
        </w:rPr>
        <w:t xml:space="preserve">Agent liquidity. </w:t>
      </w:r>
      <w:r>
        <w:t xml:space="preserve">A mobile-money agent may be nominally available but unable to serve customers because they lack sufficient cash or e-float. Counting the number of registered agents therefore gives an incomplete picture of </w:t>
      </w:r>
      <w:r>
        <w:rPr>
          <w:i/>
          <w:iCs/>
        </w:rPr>
        <w:t xml:space="preserve">effective</w:t>
      </w:r>
      <w:r>
        <w:t xml:space="preserve"> access.</w:t>
      </w:r>
    </w:p>
    <w:p>
      <w:pPr>
        <w:spacing w:after="200" w:line="300"/>
      </w:pPr>
      <w:r>
        <w:rPr>
          <w:b/>
          <w:bCs/>
        </w:rPr>
        <w:t xml:space="preserve">Transaction costs. </w:t>
      </w:r>
      <w:r>
        <w:t xml:space="preserve">For low-income rural households, even modest fees can shape usage decisions. Inclusion depends not only on whether services exist, but on whether they are economically meaningful for low-income users.</w:t>
      </w:r>
    </w:p>
    <w:p>
      <w:pPr>
        <w:spacing w:after="200" w:line="300"/>
      </w:pPr>
      <w:r>
        <w:rPr>
          <w:b/>
          <w:bCs/>
        </w:rPr>
        <w:t xml:space="preserve">Identity and KYC requirements. </w:t>
      </w:r>
      <w:r>
        <w:t xml:space="preserve">While simplified KYC has supported inclusion, identity documentation and registration requirements can still create friction for some underserved populations.</w:t>
      </w:r>
    </w:p>
    <w:p>
      <w:pPr>
        <w:pStyle w:val="Heading2"/>
        <w:spacing w:after="120" w:before="280"/>
      </w:pPr>
      <w:r>
        <w:t xml:space="preserve">Beyond Access: From Adoption to Meaningful Financial Inclusion</w:t>
      </w:r>
    </w:p>
    <w:p>
      <w:pPr>
        <w:spacing w:after="200" w:line="300"/>
      </w:pPr>
      <w:r>
        <w:t xml:space="preserve">A useful distinction separates </w:t>
      </w:r>
      <w:r>
        <w:rPr>
          <w:b/>
          <w:bCs/>
        </w:rPr>
        <w:t xml:space="preserve">access, adoption, and meaningful usage</w:t>
      </w:r>
      <w:r>
        <w:t xml:space="preserve">. A person may have access to a mobile-money agent but never use the service. Another may use mobile money only for occasional transfers. A third may use it regularly for payments, savings, and business transactions. These are not the same level of financial inclusion, even though all three might be counted as “included” in a simple access metric.</w:t>
      </w:r>
    </w:p>
    <w:p>
      <w:pPr>
        <w:spacing w:after="200" w:line="300"/>
      </w:pPr>
      <w:r>
        <w:t xml:space="preserve">Future research on rural Nigeria should therefore examine multiple dimensions of mobile-money adoption, including:</w:t>
      </w:r>
    </w:p>
    <w:p>
      <w:pPr>
        <w:pStyle w:val="ListParagraph"/>
        <w:numPr>
          <w:ilvl w:val="0"/>
          <w:numId w:val="2"/>
        </w:numPr>
        <w:spacing w:after="100"/>
      </w:pPr>
      <w:r>
        <w:t xml:space="preserve">Availability of agents</w:t>
      </w:r>
    </w:p>
    <w:p>
      <w:pPr>
        <w:pStyle w:val="ListParagraph"/>
        <w:numPr>
          <w:ilvl w:val="0"/>
          <w:numId w:val="2"/>
        </w:numPr>
        <w:spacing w:after="100"/>
      </w:pPr>
      <w:r>
        <w:t xml:space="preserve">Frequency of usage</w:t>
      </w:r>
    </w:p>
    <w:p>
      <w:pPr>
        <w:pStyle w:val="ListParagraph"/>
        <w:numPr>
          <w:ilvl w:val="0"/>
          <w:numId w:val="2"/>
        </w:numPr>
        <w:spacing w:after="100"/>
      </w:pPr>
      <w:r>
        <w:t xml:space="preserve">Transaction costs</w:t>
      </w:r>
    </w:p>
    <w:p>
      <w:pPr>
        <w:pStyle w:val="ListParagraph"/>
        <w:numPr>
          <w:ilvl w:val="0"/>
          <w:numId w:val="2"/>
        </w:numPr>
        <w:spacing w:after="100"/>
      </w:pPr>
      <w:r>
        <w:t xml:space="preserve">Reliability of telecommunications networks</w:t>
      </w:r>
    </w:p>
    <w:p>
      <w:pPr>
        <w:pStyle w:val="ListParagraph"/>
        <w:numPr>
          <w:ilvl w:val="0"/>
          <w:numId w:val="2"/>
        </w:numPr>
        <w:spacing w:after="100"/>
      </w:pPr>
      <w:r>
        <w:t xml:space="preserve">Trust in providers</w:t>
      </w:r>
    </w:p>
    <w:p>
      <w:pPr>
        <w:pStyle w:val="ListParagraph"/>
        <w:numPr>
          <w:ilvl w:val="0"/>
          <w:numId w:val="2"/>
        </w:numPr>
        <w:spacing w:after="100"/>
      </w:pPr>
      <w:r>
        <w:t xml:space="preserve">Digital and financial literacy</w:t>
      </w:r>
    </w:p>
    <w:p>
      <w:pPr>
        <w:pStyle w:val="ListParagraph"/>
        <w:numPr>
          <w:ilvl w:val="0"/>
          <w:numId w:val="2"/>
        </w:numPr>
        <w:spacing w:after="100"/>
      </w:pPr>
      <w:r>
        <w:t xml:space="preserve">Gender, age, income, and education</w:t>
      </w:r>
    </w:p>
    <w:p>
      <w:pPr>
        <w:pStyle w:val="ListParagraph"/>
        <w:numPr>
          <w:ilvl w:val="0"/>
          <w:numId w:val="2"/>
        </w:numPr>
        <w:spacing w:after="100"/>
      </w:pPr>
      <w:r>
        <w:t xml:space="preserve">Distance from conventional financial institutions</w:t>
      </w:r>
    </w:p>
    <w:p>
      <w:pPr>
        <w:pStyle w:val="ListParagraph"/>
        <w:numPr>
          <w:ilvl w:val="0"/>
          <w:numId w:val="2"/>
        </w:numPr>
        <w:spacing w:after="100"/>
      </w:pPr>
      <w:r>
        <w:t xml:space="preserve">Type of mobile device</w:t>
      </w:r>
    </w:p>
    <w:p>
      <w:pPr>
        <w:pStyle w:val="ListParagraph"/>
        <w:numPr>
          <w:ilvl w:val="0"/>
          <w:numId w:val="2"/>
        </w:numPr>
        <w:spacing w:after="100"/>
      </w:pPr>
      <w:r>
        <w:t xml:space="preserve">Perceived security</w:t>
      </w:r>
    </w:p>
    <w:p>
      <w:pPr>
        <w:pStyle w:val="ListParagraph"/>
        <w:numPr>
          <w:ilvl w:val="0"/>
          <w:numId w:val="2"/>
        </w:numPr>
        <w:spacing w:after="100"/>
      </w:pPr>
      <w:r>
        <w:t xml:space="preserve">Agent liquidity</w:t>
      </w:r>
    </w:p>
    <w:p>
      <w:pPr>
        <w:pStyle w:val="ListParagraph"/>
        <w:numPr>
          <w:ilvl w:val="0"/>
          <w:numId w:val="2"/>
        </w:numPr>
        <w:spacing w:after="100"/>
      </w:pPr>
      <w:r>
        <w:t xml:space="preserve">Business usage and savings behaviour</w:t>
      </w:r>
    </w:p>
    <w:p>
      <w:pPr>
        <w:pStyle w:val="ListParagraph"/>
        <w:numPr>
          <w:ilvl w:val="0"/>
          <w:numId w:val="2"/>
        </w:numPr>
        <w:spacing w:after="100"/>
      </w:pPr>
      <w:r>
        <w:t xml:space="preserve">Access to complementary financial services</w:t>
      </w:r>
    </w:p>
    <w:p>
      <w:pPr>
        <w:pStyle w:val="Heading2"/>
        <w:spacing w:after="120" w:before="280"/>
      </w:pPr>
      <w:r>
        <w:t xml:space="preserve">Policy Implications</w:t>
      </w:r>
    </w:p>
    <w:p>
      <w:pPr>
        <w:spacing w:after="200" w:line="300"/>
      </w:pPr>
      <w:r>
        <w:rPr>
          <w:b/>
          <w:bCs/>
        </w:rPr>
        <w:t xml:space="preserve">First, agent networks need to be deepened in genuinely underserved communities. </w:t>
      </w:r>
      <w:r>
        <w:t xml:space="preserve">Expansion should focus not merely on the number of registered agents but on geographic coverage, service reliability, and agent liquidity.</w:t>
      </w:r>
    </w:p>
    <w:p>
      <w:pPr>
        <w:spacing w:after="200" w:line="300"/>
      </w:pPr>
      <w:r>
        <w:rPr>
          <w:b/>
          <w:bCs/>
        </w:rPr>
        <w:t xml:space="preserve">Second, digital financial literacy should accompany infrastructure expansion. </w:t>
      </w:r>
      <w:r>
        <w:t xml:space="preserve">Rural users need practical knowledge on safe transactions, fraud prevention, account security, fees, and complaint mechanisms.</w:t>
      </w:r>
    </w:p>
    <w:p>
      <w:pPr>
        <w:spacing w:after="200" w:line="300"/>
      </w:pPr>
      <w:r>
        <w:rPr>
          <w:b/>
          <w:bCs/>
        </w:rPr>
        <w:t xml:space="preserve">Third, consumer protection must remain central. </w:t>
      </w:r>
      <w:r>
        <w:t xml:space="preserve">Rapid digital adoption without adequate safeguards can expose inexperienced users to fraud and financial loss.</w:t>
      </w:r>
    </w:p>
    <w:p>
      <w:pPr>
        <w:spacing w:after="200" w:line="300"/>
      </w:pPr>
      <w:r>
        <w:rPr>
          <w:b/>
          <w:bCs/>
        </w:rPr>
        <w:t xml:space="preserve">Fourth, interoperability and reliable payment infrastructure matter. </w:t>
      </w:r>
      <w:r>
        <w:t xml:space="preserve">The CBN's Payments System Vision 2028 (PSV 2028), launched in June 2026, is anchored on six guiding principles — interoperability, security, inclusion, innovation, trust, and collaboration — and explicitly targets closing the depth-and-sustainability gaps in financial inclusion left by the preceding PSV 2025 framework.</w:t>
      </w:r>
      <w:r>
        <w:rPr>
          <w:vertAlign w:val="superscript"/>
        </w:rPr>
        <w:t xml:space="preserve">8</w:t>
      </w:r>
    </w:p>
    <w:p>
      <w:pPr>
        <w:spacing w:after="200" w:line="300"/>
      </w:pPr>
      <w:r>
        <w:rPr>
          <w:b/>
          <w:bCs/>
        </w:rPr>
        <w:t xml:space="preserve">Fifth, policymakers should pay particular attention to underserved groups. </w:t>
      </w:r>
      <w:r>
        <w:t xml:space="preserve">Rural women, smallholder farmers, microentrepreneurs, young people, and low-income households face different barriers and may require differentiated approaches.</w:t>
      </w:r>
    </w:p>
    <w:p>
      <w:pPr>
        <w:pStyle w:val="Heading2"/>
        <w:spacing w:after="120" w:before="280"/>
      </w:pPr>
      <w:r>
        <w:t xml:space="preserve">A Research Agenda for Rural Nigeria</w:t>
      </w:r>
    </w:p>
    <w:p>
      <w:pPr>
        <w:spacing w:after="200" w:line="300"/>
      </w:pPr>
      <w:r>
        <w:t xml:space="preserve">Mobile money adoption presents an important research opportunity for Nigerian scholars. Future empirical studies could examine:</w:t>
      </w:r>
    </w:p>
    <w:p>
      <w:pPr>
        <w:pStyle w:val="ListParagraph"/>
        <w:numPr>
          <w:ilvl w:val="0"/>
          <w:numId w:val="3"/>
        </w:numPr>
        <w:spacing w:after="100"/>
      </w:pPr>
      <w:r>
        <w:t xml:space="preserve">Does mobile-money adoption significantly improve financial inclusion among rural Nigerian households?</w:t>
      </w:r>
    </w:p>
    <w:p>
      <w:pPr>
        <w:pStyle w:val="ListParagraph"/>
        <w:numPr>
          <w:ilvl w:val="0"/>
          <w:numId w:val="3"/>
        </w:numPr>
        <w:spacing w:after="100"/>
      </w:pPr>
      <w:r>
        <w:t xml:space="preserve">How does agent density affect mobile-money adoption?</w:t>
      </w:r>
    </w:p>
    <w:p>
      <w:pPr>
        <w:pStyle w:val="ListParagraph"/>
        <w:numPr>
          <w:ilvl w:val="0"/>
          <w:numId w:val="3"/>
        </w:numPr>
        <w:spacing w:after="100"/>
      </w:pPr>
      <w:r>
        <w:t xml:space="preserve">Does digital financial literacy moderate the relationship between mobile-money availability and financial inclusion?</w:t>
      </w:r>
    </w:p>
    <w:p>
      <w:pPr>
        <w:pStyle w:val="ListParagraph"/>
        <w:numPr>
          <w:ilvl w:val="0"/>
          <w:numId w:val="3"/>
        </w:numPr>
        <w:spacing w:after="100"/>
      </w:pPr>
      <w:r>
        <w:t xml:space="preserve">How does trust in mobile-money providers influence continued usage?</w:t>
      </w:r>
    </w:p>
    <w:p>
      <w:pPr>
        <w:pStyle w:val="ListParagraph"/>
        <w:numPr>
          <w:ilvl w:val="0"/>
          <w:numId w:val="3"/>
        </w:numPr>
        <w:spacing w:after="100"/>
      </w:pPr>
      <w:r>
        <w:t xml:space="preserve">Do transaction costs discourage regular mobile-money usage among low-income rural households?</w:t>
      </w:r>
    </w:p>
    <w:p>
      <w:pPr>
        <w:pStyle w:val="ListParagraph"/>
        <w:numPr>
          <w:ilvl w:val="0"/>
          <w:numId w:val="3"/>
        </w:numPr>
        <w:spacing w:after="100"/>
      </w:pPr>
      <w:r>
        <w:t xml:space="preserve">Does mobile-money adoption improve savings behaviour among smallholder farmers?</w:t>
      </w:r>
    </w:p>
    <w:p>
      <w:pPr>
        <w:pStyle w:val="ListParagraph"/>
        <w:numPr>
          <w:ilvl w:val="0"/>
          <w:numId w:val="3"/>
        </w:numPr>
        <w:spacing w:after="100"/>
      </w:pPr>
      <w:r>
        <w:t xml:space="preserve">Are there significant gender differences in rural mobile-money adoption?</w:t>
      </w:r>
    </w:p>
    <w:p>
      <w:pPr>
        <w:pStyle w:val="ListParagraph"/>
        <w:numPr>
          <w:ilvl w:val="0"/>
          <w:numId w:val="3"/>
        </w:numPr>
        <w:spacing w:after="100"/>
      </w:pPr>
      <w:r>
        <w:t xml:space="preserve">Does mobile money improve the financial resilience of rural households?</w:t>
      </w:r>
    </w:p>
    <w:p>
      <w:pPr>
        <w:pStyle w:val="ListParagraph"/>
        <w:numPr>
          <w:ilvl w:val="0"/>
          <w:numId w:val="3"/>
        </w:numPr>
        <w:spacing w:after="100"/>
      </w:pPr>
      <w:r>
        <w:t xml:space="preserve">How does mobile-money adoption affect the performance of rural micro and small enterprises?</w:t>
      </w:r>
    </w:p>
    <w:p>
      <w:pPr>
        <w:pStyle w:val="ListParagraph"/>
        <w:numPr>
          <w:ilvl w:val="0"/>
          <w:numId w:val="3"/>
        </w:numPr>
        <w:spacing w:after="100"/>
      </w:pPr>
      <w:r>
        <w:t xml:space="preserve">What institutional and infrastructural factors explain differences in mobile-money adoption across Nigerian states?</w:t>
      </w:r>
    </w:p>
    <w:p>
      <w:pPr>
        <w:spacing w:after="200" w:line="300"/>
      </w:pPr>
      <w:r>
        <w:t xml:space="preserve">A particularly useful conceptual framework could treat </w:t>
      </w:r>
      <w:r>
        <w:rPr>
          <w:b/>
          <w:bCs/>
        </w:rPr>
        <w:t xml:space="preserve">mobile-money accessibility and adoption as independent variables, financial inclusion as the dependent variable, and digital financial literacy, trust, network reliability, and agent availability as moderating or mediating factors</w:t>
      </w:r>
      <w:r>
        <w:t xml:space="preserve">. Such a framework would allow researchers to move beyond descriptive discussion of digital finance and empirically test the mechanisms through which mobile money may contribute to financial inclusion.</w:t>
      </w:r>
    </w:p>
    <w:p>
      <w:pPr>
        <w:pStyle w:val="Heading2"/>
        <w:spacing w:after="120" w:before="280"/>
      </w:pPr>
      <w:r>
        <w:t xml:space="preserve">Conclusion</w:t>
      </w:r>
    </w:p>
    <w:p>
      <w:pPr>
        <w:spacing w:after="200" w:line="300"/>
      </w:pPr>
      <w:r>
        <w:t xml:space="preserve">Mobile money has the potential to become an important component of Nigeria's financial-inclusion architecture, particularly for communities where conventional banking infrastructure remains limited. Nigeria's expanding digital-payment ecosystem, regulatory initiatives, and agent-network programmes provide an important foundation — but technology alone will not eliminate financial exclusion.</w:t>
      </w:r>
    </w:p>
    <w:p>
      <w:pPr>
        <w:spacing w:after="200" w:line="300"/>
      </w:pPr>
      <w:r>
        <w:t xml:space="preserve"> For rural communities, meaningful financial inclusion requires a combination of </w:t>
      </w:r>
      <w:r>
        <w:rPr>
          <w:b/>
          <w:bCs/>
        </w:rPr>
        <w:t xml:space="preserve">availability, affordability, reliability, trust, literacy, consumer protection, and sustained usage</w:t>
      </w:r>
      <w:r>
        <w:t xml:space="preserve">. The policy challenge is not simply to put financial services on mobile phones. It is to ensure that rural Nigerians can use those services safely, affordably, and consistently to improve their economic participation.</w:t>
      </w:r>
    </w:p>
    <w:p>
      <w:pPr>
        <w:spacing w:after="200" w:line="300"/>
      </w:pPr>
      <w:r>
        <w:t xml:space="preserve">For researchers and policymakers, the next stage should move beyond measuring whether mobile money is available and focus on a more consequential question:</w:t>
      </w:r>
    </w:p>
    <w:p>
      <w:pPr>
        <w:spacing w:after="200" w:line="300"/>
      </w:pPr>
      <w:r>
        <w:rPr>
          <w:b/>
          <w:bCs/>
        </w:rPr>
        <w:t xml:space="preserve">Does mobile money translate digital access into meaningful and sustainable financial inclusion for rural Nigerians?</w:t>
      </w:r>
    </w:p>
    <w:p>
      <w:pPr>
        <w:spacing w:after="200" w:line="300"/>
      </w:pPr>
      <w:r>
        <w:t xml:space="preserve">That question deserves continued empirical investigation.</w:t>
      </w:r>
    </w:p>
    <w:p>
      <w:pPr>
        <w:pBdr>
          <w:bottom w:val="single" w:color="999999" w:sz="6" w:space="1"/>
        </w:pBdr>
        <w:spacing w:after="240"/>
      </w:pPr>
    </w:p>
    <w:p>
      <w:pPr>
        <w:pStyle w:val="Heading2"/>
        <w:spacing w:after="120" w:before="280"/>
      </w:pPr>
      <w:r>
        <w:t xml:space="preserve">References</w:t>
      </w:r>
    </w:p>
    <w:p>
      <w:pPr>
        <w:spacing w:after="180" w:line="280"/>
        <w:ind w:left="0" w:hanging="0"/>
      </w:pPr>
      <w:r>
        <w:rPr>
          <w:b/>
          <w:bCs/>
        </w:rPr>
        <w:t xml:space="preserve">[1] </w:t>
      </w:r>
      <w:r>
        <w:t xml:space="preserve">EFInA (Enhancing Financial Innovation &amp; Access). </w:t>
      </w:r>
      <w:r>
        <w:rPr>
          <w:i/>
          <w:iCs/>
        </w:rPr>
        <w:t xml:space="preserve">Access to Financial Services in Nigeria (A2F) 2023 Survey — Key Highlights.</w:t>
      </w:r>
      <w:r>
        <w:t xml:space="preserve"> Presented December 13, 2023. Summary: </w:t>
      </w:r>
      <w:hyperlink w:history="1" r:id="rIda6tdwe9xfmiraaaifeaca">
        <w:r>
          <w:rPr>
            <w:rStyle w:val="Hyperlink"/>
          </w:rPr>
          <w:t xml:space="preserve">a2f.ng</w:t>
        </w:r>
      </w:hyperlink>
      <w:r>
        <w:t xml:space="preserve">; </w:t>
      </w:r>
      <w:hyperlink w:history="1" r:id="rIdqfo5jiau_ie0urouqtm1c">
        <w:r>
          <w:rPr>
            <w:rStyle w:val="Hyperlink"/>
          </w:rPr>
          <w:t xml:space="preserve">proshare.co</w:t>
        </w:r>
      </w:hyperlink>
      <w:r>
        <w:t xml:space="preserve">. Accessed September 2026.</w:t>
      </w:r>
    </w:p>
    <w:p>
      <w:pPr>
        <w:spacing w:after="180" w:line="280"/>
        <w:ind w:left="0" w:hanging="0"/>
      </w:pPr>
      <w:r>
        <w:rPr>
          <w:b/>
          <w:bCs/>
        </w:rPr>
        <w:t xml:space="preserve">[2] </w:t>
      </w:r>
      <w:r>
        <w:t xml:space="preserve">EFInA A2F 2023 Survey findings, as reported in “Formal financial inclusion in Nigeria soars to 64%, driven by non-banking channels,” </w:t>
      </w:r>
      <w:r>
        <w:rPr>
          <w:i/>
          <w:iCs/>
        </w:rPr>
        <w:t xml:space="preserve">Nairametrics</w:t>
      </w:r>
      <w:r>
        <w:t xml:space="preserve">, December 2023: </w:t>
      </w:r>
      <w:hyperlink w:history="1" r:id="rIdxq5jn26suaheodfcx6m5g">
        <w:r>
          <w:rPr>
            <w:rStyle w:val="Hyperlink"/>
          </w:rPr>
          <w:t xml:space="preserve">nairametrics.com</w:t>
        </w:r>
      </w:hyperlink>
      <w:r>
        <w:t xml:space="preserve">; regional exclusion figures via </w:t>
      </w:r>
      <w:r>
        <w:rPr>
          <w:i/>
          <w:iCs/>
        </w:rPr>
        <w:t xml:space="preserve">A2F.ng</w:t>
      </w:r>
      <w:r>
        <w:t xml:space="preserve"> resources archive: </w:t>
      </w:r>
      <w:hyperlink w:history="1" r:id="rId1vumlocvszp-hd_0hwig-">
        <w:r>
          <w:rPr>
            <w:rStyle w:val="Hyperlink"/>
          </w:rPr>
          <w:t xml:space="preserve">a2f.ng</w:t>
        </w:r>
      </w:hyperlink>
      <w:r>
        <w:t xml:space="preserve">. Accessed September 2026.</w:t>
      </w:r>
    </w:p>
    <w:p>
      <w:pPr>
        <w:spacing w:after="180" w:line="280"/>
        <w:ind w:left="0" w:hanging="0"/>
      </w:pPr>
      <w:r>
        <w:rPr>
          <w:b/>
          <w:bCs/>
        </w:rPr>
        <w:t xml:space="preserve">[3] </w:t>
      </w:r>
      <w:r>
        <w:t xml:space="preserve">Central Bank of Nigeria. </w:t>
      </w:r>
      <w:r>
        <w:rPr>
          <w:i/>
          <w:iCs/>
        </w:rPr>
        <w:t xml:space="preserve">Financial Inclusion</w:t>
      </w:r>
      <w:r>
        <w:t xml:space="preserve"> (strategy overview) and </w:t>
      </w:r>
      <w:r>
        <w:rPr>
          <w:i/>
          <w:iCs/>
        </w:rPr>
        <w:t xml:space="preserve">Payment Modes in Nigeria</w:t>
      </w:r>
      <w:r>
        <w:t xml:space="preserve">: </w:t>
      </w:r>
      <w:hyperlink w:history="1" r:id="rIdzxc2mai8x6veiqmmak_6d">
        <w:r>
          <w:rPr>
            <w:rStyle w:val="Hyperlink"/>
          </w:rPr>
          <w:t xml:space="preserve">cbn.gov.ng</w:t>
        </w:r>
      </w:hyperlink>
      <w:r>
        <w:t xml:space="preserve">. Accessed September 2026.</w:t>
      </w:r>
    </w:p>
    <w:p>
      <w:pPr>
        <w:spacing w:after="180" w:line="280"/>
        <w:ind w:left="0" w:hanging="0"/>
      </w:pPr>
      <w:r>
        <w:rPr>
          <w:b/>
          <w:bCs/>
        </w:rPr>
        <w:t xml:space="preserve">[4] </w:t>
      </w:r>
      <w:r>
        <w:t xml:space="preserve">Central Bank of Nigeria. </w:t>
      </w:r>
      <w:r>
        <w:rPr>
          <w:i/>
          <w:iCs/>
        </w:rPr>
        <w:t xml:space="preserve">Shared Agent Network Expansion Facility (SANEF)</w:t>
      </w:r>
      <w:r>
        <w:t xml:space="preserve"> — objectives and framework: </w:t>
      </w:r>
      <w:hyperlink w:history="1" r:id="rIduicnb76c1haudzezeu-m4">
        <w:r>
          <w:rPr>
            <w:rStyle w:val="Hyperlink"/>
          </w:rPr>
          <w:t xml:space="preserve">cbn.gov.ng/DFD/energy/sanef.html</w:t>
        </w:r>
      </w:hyperlink>
      <w:r>
        <w:t xml:space="preserve">; SANEF Operational Framework (November 2018): </w:t>
      </w:r>
      <w:hyperlink w:history="1" r:id="rId4hnlljcge-bbt_jqdxkkk">
        <w:r>
          <w:rPr>
            <w:rStyle w:val="Hyperlink"/>
          </w:rPr>
          <w:t xml:space="preserve">regalert.today</w:t>
        </w:r>
      </w:hyperlink>
      <w:r>
        <w:t xml:space="preserve">. Accessed September 2026.</w:t>
      </w:r>
    </w:p>
    <w:p>
      <w:pPr>
        <w:spacing w:after="180" w:line="280"/>
        <w:ind w:left="0" w:hanging="0"/>
      </w:pPr>
      <w:r>
        <w:rPr>
          <w:b/>
          <w:bCs/>
        </w:rPr>
        <w:t xml:space="preserve">[5] </w:t>
      </w:r>
      <w:r>
        <w:t xml:space="preserve">Central Bank of Nigeria. </w:t>
      </w:r>
      <w:r>
        <w:rPr>
          <w:i/>
          <w:iCs/>
        </w:rPr>
        <w:t xml:space="preserve">e-Payment Statistics, January–June 2024</w:t>
      </w:r>
      <w:r>
        <w:t xml:space="preserve"> (industry data by channel, distinguishing “Mobile App Transfers (Not Mobile Money)” from “MMOs”): </w:t>
      </w:r>
      <w:hyperlink w:history="1" r:id="rId6gunayis0mawn7xruins1">
        <w:r>
          <w:rPr>
            <w:rStyle w:val="Hyperlink"/>
          </w:rPr>
          <w:t xml:space="preserve">cbn.gov.ng/PaymentsSystem/ePaymentStatistics.html</w:t>
        </w:r>
      </w:hyperlink>
      <w:r>
        <w:t xml:space="preserve">. Accessed September 2026.</w:t>
      </w:r>
    </w:p>
    <w:p>
      <w:pPr>
        <w:spacing w:after="180" w:line="280"/>
        <w:ind w:left="0" w:hanging="0"/>
      </w:pPr>
      <w:r>
        <w:rPr>
          <w:b/>
          <w:bCs/>
        </w:rPr>
        <w:t xml:space="preserve">[6] </w:t>
      </w:r>
      <w:r>
        <w:t xml:space="preserve">Nigeria Inter-Bank Settlement System (NIBSS) data on mobile money operator transaction values for 2024, as reported in “How mobile money growth is fueling financial inclusion,” </w:t>
      </w:r>
      <w:r>
        <w:rPr>
          <w:i/>
          <w:iCs/>
        </w:rPr>
        <w:t xml:space="preserve">TechEconomy</w:t>
      </w:r>
      <w:r>
        <w:t xml:space="preserve">: </w:t>
      </w:r>
      <w:hyperlink w:history="1" r:id="rIdbjjji0h42pnoqkuq5bwti">
        <w:r>
          <w:rPr>
            <w:rStyle w:val="Hyperlink"/>
          </w:rPr>
          <w:t xml:space="preserve">techeconomy.ng</w:t>
        </w:r>
      </w:hyperlink>
      <w:r>
        <w:t xml:space="preserve">. Accessed September 2026.</w:t>
      </w:r>
    </w:p>
    <w:p>
      <w:pPr>
        <w:spacing w:after="180" w:line="280"/>
        <w:ind w:left="0" w:hanging="0"/>
      </w:pPr>
      <w:r>
        <w:rPr>
          <w:b/>
          <w:bCs/>
        </w:rPr>
        <w:t xml:space="preserve">[7] </w:t>
      </w:r>
      <w:r>
        <w:t xml:space="preserve">World Bank. </w:t>
      </w:r>
      <w:r>
        <w:rPr>
          <w:i/>
          <w:iCs/>
        </w:rPr>
        <w:t xml:space="preserve">The Global Findex Database 2025: Connectivity and Financial Inclusion in the Digital Economy.</w:t>
      </w:r>
      <w:r>
        <w:t xml:space="preserve"> Nigeria country data: </w:t>
      </w:r>
      <w:hyperlink w:history="1" r:id="rIdxd31xurbyenqret-wu_tj">
        <w:r>
          <w:rPr>
            <w:rStyle w:val="Hyperlink"/>
          </w:rPr>
          <w:t xml:space="preserve">microdata.worldbank.org</w:t>
        </w:r>
      </w:hyperlink>
      <w:r>
        <w:t xml:space="preserve">; summary coverage: “Mobile money leads Nigeria's financial inclusion drive,” </w:t>
      </w:r>
      <w:r>
        <w:rPr>
          <w:i/>
          <w:iCs/>
        </w:rPr>
        <w:t xml:space="preserve">The Guardian Nigeria</w:t>
      </w:r>
      <w:r>
        <w:t xml:space="preserve">: </w:t>
      </w:r>
      <w:hyperlink w:history="1" r:id="rIdq8kpwsohggelhypchdzbd">
        <w:r>
          <w:rPr>
            <w:rStyle w:val="Hyperlink"/>
          </w:rPr>
          <w:t xml:space="preserve">guardian.ng</w:t>
        </w:r>
      </w:hyperlink>
      <w:r>
        <w:t xml:space="preserve">; “How mobile money growth is fueling financial inclusion,” </w:t>
      </w:r>
      <w:r>
        <w:rPr>
          <w:i/>
          <w:iCs/>
        </w:rPr>
        <w:t xml:space="preserve">BusinessDay</w:t>
      </w:r>
      <w:r>
        <w:t xml:space="preserve">: </w:t>
      </w:r>
      <w:hyperlink w:history="1" r:id="rIdkjmkqdh7jbc237ogep0m4">
        <w:r>
          <w:rPr>
            <w:rStyle w:val="Hyperlink"/>
          </w:rPr>
          <w:t xml:space="preserve">businessday.ng</w:t>
        </w:r>
      </w:hyperlink>
      <w:r>
        <w:t xml:space="preserve">. Accessed September 2026.</w:t>
      </w:r>
    </w:p>
    <w:p>
      <w:pPr>
        <w:spacing w:after="180" w:line="280"/>
        <w:ind w:left="0" w:hanging="0"/>
      </w:pPr>
      <w:r>
        <w:rPr>
          <w:b/>
          <w:bCs/>
        </w:rPr>
        <w:t xml:space="preserve">[8] </w:t>
      </w:r>
      <w:r>
        <w:t xml:space="preserve">Central Bank of Nigeria. </w:t>
      </w:r>
      <w:r>
        <w:rPr>
          <w:i/>
          <w:iCs/>
        </w:rPr>
        <w:t xml:space="preserve">Payments System Vision 2028 (PSV 2028)</w:t>
      </w:r>
      <w:r>
        <w:t xml:space="preserve">, launched June 1, 2026: </w:t>
      </w:r>
      <w:hyperlink w:history="1" r:id="rIdqfejr92ceajfrpfpnhhwm">
        <w:r>
          <w:rPr>
            <w:rStyle w:val="Hyperlink"/>
          </w:rPr>
          <w:t xml:space="preserve">cbn.gov.ng/PaymentsSystem/PSV2028.html</w:t>
        </w:r>
      </w:hyperlink>
      <w:r>
        <w:t xml:space="preserve">. Accessed September 2026.</w:t>
      </w:r>
    </w:p>
    <w:p>
      <w:pPr>
        <w:pBdr>
          <w:bottom w:val="single" w:color="999999" w:sz="6" w:space="1"/>
        </w:pBdr>
        <w:spacing w:after="240"/>
      </w:pPr>
    </w:p>
    <w:p>
      <w:pPr>
        <w:spacing w:after="200" w:line="300"/>
      </w:pPr>
      <w:r>
        <w:rPr>
          <w:i/>
          <w:iCs/>
        </w:rPr>
        <w:t xml:space="preserve">Prepared for RRPA. This analysis synthesises secondary data from EFInA, the Central Bank of Nigeria, the Nigeria Inter-Bank Settlement System, and the World Bank's Global Findex Database. It does not report primary survey data collected by RRPA.</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yperlink">
    <w:name w:val="Hyperlink"/>
    <w:basedOn w:val="Normal"/>
    <w:rPr>
      <w:color w:val="0563C1"/>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6tdwe9xfmiraaaifeaca" Type="http://schemas.openxmlformats.org/officeDocument/2006/relationships/hyperlink" Target="https://a2f.ng/?p=3936" TargetMode="External"/><Relationship Id="rIdqfo5jiau_ie0urouqtm1c" Type="http://schemas.openxmlformats.org/officeDocument/2006/relationships/hyperlink" Target="https://proshare.co/articles/efina-report-nigerias-formal-financial-inclusion-grows-to-64-in-2023" TargetMode="External"/><Relationship Id="rIdxq5jn26suaheodfcx6m5g" Type="http://schemas.openxmlformats.org/officeDocument/2006/relationships/hyperlink" Target="https://nairametrics.com/2023/12/13/formal-financial-inclusion-in-nigeria-soars-to-64-driven-by-non-banking-channels-report/" TargetMode="External"/><Relationship Id="rId1vumlocvszp-hd_0hwig-" Type="http://schemas.openxmlformats.org/officeDocument/2006/relationships/hyperlink" Target="https://a2f.ng/category/resources/page/4/" TargetMode="External"/><Relationship Id="rIdzxc2mai8x6veiqmmak_6d" Type="http://schemas.openxmlformats.org/officeDocument/2006/relationships/hyperlink" Target="https://www.cbn.gov.ng" TargetMode="External"/><Relationship Id="rIduicnb76c1haudzezeu-m4" Type="http://schemas.openxmlformats.org/officeDocument/2006/relationships/hyperlink" Target="https://www.cbn.gov.ng/DFD/energy/sanef.html" TargetMode="External"/><Relationship Id="rId4hnlljcge-bbt_jqdxkkk" Type="http://schemas.openxmlformats.org/officeDocument/2006/relationships/hyperlink" Target="https://regalert.today/document/22ee9cfd-9272-4e60-824d-386b34ca7143/text" TargetMode="External"/><Relationship Id="rId6gunayis0mawn7xruins1" Type="http://schemas.openxmlformats.org/officeDocument/2006/relationships/hyperlink" Target="https://www.cbn.gov.ng/PaymentsSystem/ePaymentStatistics.html" TargetMode="External"/><Relationship Id="rIdbjjji0h42pnoqkuq5bwti" Type="http://schemas.openxmlformats.org/officeDocument/2006/relationships/hyperlink" Target="https://techeconomy.ng/tag/digital-savings/feed/" TargetMode="External"/><Relationship Id="rIdxd31xurbyenqret-wu_tj" Type="http://schemas.openxmlformats.org/officeDocument/2006/relationships/hyperlink" Target="https://microdata.worldbank.org/catalog/7957" TargetMode="External"/><Relationship Id="rIdq8kpwsohggelhypchdzbd" Type="http://schemas.openxmlformats.org/officeDocument/2006/relationships/hyperlink" Target="https://guardian.ng/business-services/mobile-money-leads-nigerias-financial-inclusion-drive/" TargetMode="External"/><Relationship Id="rIdkjmkqdh7jbc237ogep0m4" Type="http://schemas.openxmlformats.org/officeDocument/2006/relationships/hyperlink" Target="https://businessday.ng/financial-inclusion/article/how-mobile-money-growth-is-fueling-financial-inclusion/" TargetMode="External"/><Relationship Id="rIdqfejr92ceajfrpfpnhhwm" Type="http://schemas.openxmlformats.org/officeDocument/2006/relationships/hyperlink" Target="https://www.cbn.gov.ng/PaymentsSystem/PSV2028.html" TargetMode="External"/><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2026-09-17T16:33:10.168Z</dcterms:created>
  <dcterms:modified xsi:type="dcterms:W3CDTF">2026-09-17T16:33:10.168Z</dcterms:modified>
</cp:coreProperties>
</file>

<file path=docProps/custom.xml><?xml version="1.0" encoding="utf-8"?>
<Properties xmlns="http://schemas.openxmlformats.org/officeDocument/2006/custom-properties" xmlns:vt="http://schemas.openxmlformats.org/officeDocument/2006/docPropsVTypes"/>
</file>